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F25D" w14:textId="77777777" w:rsidR="00667A13" w:rsidRPr="007C745C" w:rsidRDefault="00667A13" w:rsidP="00667A13">
      <w:pPr>
        <w:pStyle w:val="NormalWeb"/>
        <w:shd w:val="clear" w:color="auto" w:fill="FFFFFF"/>
        <w:spacing w:before="0" w:beforeAutospacing="0" w:after="0" w:afterAutospacing="0"/>
        <w:rPr>
          <w:rFonts w:ascii="Arial" w:hAnsi="Arial" w:cs="Arial"/>
          <w:b/>
          <w:color w:val="000000"/>
          <w:sz w:val="40"/>
          <w:szCs w:val="40"/>
        </w:rPr>
      </w:pPr>
      <w:r w:rsidRPr="007C745C">
        <w:rPr>
          <w:rFonts w:ascii="Arial" w:hAnsi="Arial" w:cs="Arial"/>
          <w:b/>
          <w:color w:val="000000"/>
          <w:sz w:val="40"/>
          <w:szCs w:val="40"/>
        </w:rPr>
        <w:t>Here is a look at five Virginia laws that went into effect on January 1, 2024:</w:t>
      </w:r>
    </w:p>
    <w:p w14:paraId="2C19C349"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p>
    <w:p w14:paraId="736597C4"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r w:rsidRPr="00667A13">
        <w:rPr>
          <w:rStyle w:val="Strong"/>
          <w:rFonts w:ascii="Arial" w:hAnsi="Arial" w:cs="Arial"/>
          <w:color w:val="000000"/>
          <w:sz w:val="28"/>
          <w:szCs w:val="28"/>
        </w:rPr>
        <w:t>1. Medical cannabis program; transition from Board of Pharmacy to Virginia Cannabis Control Authority</w:t>
      </w:r>
    </w:p>
    <w:p w14:paraId="1B7C28A6"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r w:rsidRPr="00667A13">
        <w:rPr>
          <w:rFonts w:ascii="Arial" w:hAnsi="Arial" w:cs="Arial"/>
          <w:color w:val="000000"/>
          <w:sz w:val="28"/>
          <w:szCs w:val="28"/>
        </w:rPr>
        <w:t>In 2021, while under Democratic Governor Ralph Northam Virginia lawmakers voted to legalize marijuana, but not until 2024. Years later, there still appears to be no word on the retail sales of marijuana in Virginia. </w:t>
      </w:r>
    </w:p>
    <w:p w14:paraId="05303842"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p>
    <w:p w14:paraId="25EAE830"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r w:rsidRPr="00667A13">
        <w:rPr>
          <w:rFonts w:ascii="Arial" w:hAnsi="Arial" w:cs="Arial"/>
          <w:color w:val="000000"/>
          <w:sz w:val="28"/>
          <w:szCs w:val="28"/>
        </w:rPr>
        <w:t>House Bill 1598 was Delegate Roxann L. Robinson (R) - House District 27 and transfers the oversight and administration of the Commonwealth's medical cannabis program from the Board of Pharmacy to the Virginia Cannabis Control Authority (CCA).</w:t>
      </w:r>
    </w:p>
    <w:p w14:paraId="3FDA335B"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p>
    <w:p w14:paraId="30F1138F"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p>
    <w:p w14:paraId="2B882533"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r w:rsidRPr="00667A13">
        <w:rPr>
          <w:rStyle w:val="Strong"/>
          <w:rFonts w:ascii="Arial" w:hAnsi="Arial" w:cs="Arial"/>
          <w:color w:val="000000"/>
          <w:sz w:val="28"/>
          <w:szCs w:val="28"/>
        </w:rPr>
        <w:t>2. Health insurance; mandated coverage for hearing aids for minors</w:t>
      </w:r>
    </w:p>
    <w:p w14:paraId="2107DD9C"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r w:rsidRPr="00667A13">
        <w:rPr>
          <w:rFonts w:ascii="Arial" w:hAnsi="Arial" w:cs="Arial"/>
          <w:color w:val="000000"/>
          <w:sz w:val="28"/>
          <w:szCs w:val="28"/>
        </w:rPr>
        <w:t xml:space="preserve">Senate Bill 1003 was introduced by Senator Bill </w:t>
      </w:r>
      <w:proofErr w:type="spellStart"/>
      <w:r w:rsidRPr="00667A13">
        <w:rPr>
          <w:rFonts w:ascii="Arial" w:hAnsi="Arial" w:cs="Arial"/>
          <w:color w:val="000000"/>
          <w:sz w:val="28"/>
          <w:szCs w:val="28"/>
        </w:rPr>
        <w:t>DeSteph</w:t>
      </w:r>
      <w:proofErr w:type="spellEnd"/>
      <w:r w:rsidRPr="00667A13">
        <w:rPr>
          <w:rFonts w:ascii="Arial" w:hAnsi="Arial" w:cs="Arial"/>
          <w:color w:val="000000"/>
          <w:sz w:val="28"/>
          <w:szCs w:val="28"/>
        </w:rPr>
        <w:t xml:space="preserve"> (R) - Senate District 8 and requires health insurers, maintenance organizations and corporations providing health care coverage to cover hearing aids and related services to children 18 or younger if an otolaryngologist recommends it. </w:t>
      </w:r>
    </w:p>
    <w:p w14:paraId="45CD7978"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p>
    <w:p w14:paraId="76B9DB97"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r w:rsidRPr="00667A13">
        <w:rPr>
          <w:rFonts w:ascii="Arial" w:hAnsi="Arial" w:cs="Arial"/>
          <w:color w:val="000000"/>
          <w:sz w:val="28"/>
          <w:szCs w:val="28"/>
        </w:rPr>
        <w:t>The coverage includes one hearing aid per hearing-impaired ear, up to a cost of $1,500, every 24 months. The bill applies to policies, contracts, and plans delivered, issued for delivery, or renewed on and after January 1, 2024.</w:t>
      </w:r>
    </w:p>
    <w:p w14:paraId="532A1861"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r w:rsidRPr="00667A13">
        <w:rPr>
          <w:rFonts w:ascii="Arial" w:hAnsi="Arial" w:cs="Arial"/>
          <w:color w:val="000000"/>
          <w:sz w:val="28"/>
          <w:szCs w:val="28"/>
        </w:rPr>
        <w:t>The legislation passed both the Senate and House unanimously in February and was signed by Youngkin in March.</w:t>
      </w:r>
    </w:p>
    <w:p w14:paraId="10F62A11"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p>
    <w:p w14:paraId="4EB88612"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r w:rsidRPr="00667A13">
        <w:rPr>
          <w:rStyle w:val="Strong"/>
          <w:rFonts w:ascii="Arial" w:hAnsi="Arial" w:cs="Arial"/>
          <w:color w:val="000000"/>
          <w:sz w:val="28"/>
          <w:szCs w:val="28"/>
        </w:rPr>
        <w:t>3. Adoption and foster care; home study reciprocity</w:t>
      </w:r>
    </w:p>
    <w:p w14:paraId="17FC4DB6" w14:textId="77777777" w:rsidR="00667A13" w:rsidRPr="00667A13" w:rsidRDefault="00000000" w:rsidP="00667A13">
      <w:pPr>
        <w:pStyle w:val="NormalWeb"/>
        <w:shd w:val="clear" w:color="auto" w:fill="FFFFFF"/>
        <w:spacing w:before="0" w:beforeAutospacing="0" w:after="0" w:afterAutospacing="0"/>
        <w:rPr>
          <w:rFonts w:ascii="Arial" w:hAnsi="Arial" w:cs="Arial"/>
          <w:color w:val="000000"/>
          <w:sz w:val="28"/>
          <w:szCs w:val="28"/>
        </w:rPr>
      </w:pPr>
      <w:hyperlink r:id="rId5" w:tgtFrame="_blank" w:history="1">
        <w:r w:rsidR="00667A13" w:rsidRPr="00667A13">
          <w:rPr>
            <w:rStyle w:val="Hyperlink"/>
            <w:rFonts w:ascii="Arial" w:hAnsi="Arial" w:cs="Arial"/>
            <w:sz w:val="28"/>
            <w:szCs w:val="28"/>
          </w:rPr>
          <w:t>House Bill 1744</w:t>
        </w:r>
      </w:hyperlink>
      <w:r w:rsidR="00667A13" w:rsidRPr="00667A13">
        <w:rPr>
          <w:rFonts w:ascii="Arial" w:hAnsi="Arial" w:cs="Arial"/>
          <w:color w:val="000000"/>
          <w:sz w:val="28"/>
          <w:szCs w:val="28"/>
        </w:rPr>
        <w:t> was introduced by Delegate Betsy B. Carr (D) - House District 69 and standardizes home studies for potential foster or adoptive homes and allows those reports to be shared across foster agencies. Home studies are a review of a hopeful family's lifestyle, living situation and adoption readiness. During the study, a licensed social worker will handle the review. These studies can last two to three months. </w:t>
      </w:r>
    </w:p>
    <w:p w14:paraId="453E0B8B"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p>
    <w:p w14:paraId="784DB7D2"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r w:rsidRPr="00667A13">
        <w:rPr>
          <w:rFonts w:ascii="Arial" w:hAnsi="Arial" w:cs="Arial"/>
          <w:color w:val="000000"/>
          <w:sz w:val="28"/>
          <w:szCs w:val="28"/>
        </w:rPr>
        <w:t xml:space="preserve">Beginning Jan. 1, those studies are transferable between all localities, local boards, and licensed child-placing agencies within the state at the request </w:t>
      </w:r>
      <w:r w:rsidRPr="00667A13">
        <w:rPr>
          <w:rFonts w:ascii="Arial" w:hAnsi="Arial" w:cs="Arial"/>
          <w:color w:val="000000"/>
          <w:sz w:val="28"/>
          <w:szCs w:val="28"/>
        </w:rPr>
        <w:lastRenderedPageBreak/>
        <w:t>of the prospective foster parent or the prospective adoptive parent, subject to any time limitations or other requirements imposed by law or regulation.</w:t>
      </w:r>
    </w:p>
    <w:p w14:paraId="5891FBCF"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p>
    <w:p w14:paraId="73760C3D"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r w:rsidRPr="00667A13">
        <w:rPr>
          <w:rStyle w:val="Strong"/>
          <w:rFonts w:ascii="Arial" w:hAnsi="Arial" w:cs="Arial"/>
          <w:color w:val="000000"/>
          <w:sz w:val="28"/>
          <w:szCs w:val="28"/>
        </w:rPr>
        <w:t>4. Licensure of professional counselors; Counseling Compact. </w:t>
      </w:r>
    </w:p>
    <w:p w14:paraId="12C06A69"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r w:rsidRPr="00667A13">
        <w:rPr>
          <w:rFonts w:ascii="Arial" w:hAnsi="Arial" w:cs="Arial"/>
          <w:color w:val="000000"/>
          <w:sz w:val="28"/>
          <w:szCs w:val="28"/>
        </w:rPr>
        <w:t>House Bill 1433 was introduced by Delegate Phillip A. Scott (R) - House District 88 and authorizes Virginia to join the </w:t>
      </w:r>
      <w:hyperlink r:id="rId6" w:tgtFrame="_blank" w:history="1">
        <w:r w:rsidRPr="00667A13">
          <w:rPr>
            <w:rStyle w:val="Hyperlink"/>
            <w:rFonts w:ascii="Arial" w:hAnsi="Arial" w:cs="Arial"/>
            <w:sz w:val="28"/>
            <w:szCs w:val="28"/>
          </w:rPr>
          <w:t>Counseling Compact</w:t>
        </w:r>
      </w:hyperlink>
      <w:r w:rsidRPr="00667A13">
        <w:rPr>
          <w:rFonts w:ascii="Arial" w:hAnsi="Arial" w:cs="Arial"/>
          <w:color w:val="000000"/>
          <w:sz w:val="28"/>
          <w:szCs w:val="28"/>
        </w:rPr>
        <w:t>, allowing eligible licensed professional counselors to practice in other states also part of the compact without the need for multiple licenses.</w:t>
      </w:r>
    </w:p>
    <w:p w14:paraId="7ABF077F"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p>
    <w:p w14:paraId="0D8F8CAC"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r w:rsidRPr="00667A13">
        <w:rPr>
          <w:rFonts w:ascii="Arial" w:hAnsi="Arial" w:cs="Arial"/>
          <w:color w:val="000000"/>
          <w:sz w:val="28"/>
          <w:szCs w:val="28"/>
        </w:rPr>
        <w:t>The program is run by the </w:t>
      </w:r>
      <w:hyperlink r:id="rId7" w:tgtFrame="_blank" w:history="1">
        <w:r w:rsidRPr="00667A13">
          <w:rPr>
            <w:rStyle w:val="Hyperlink"/>
            <w:rFonts w:ascii="Arial" w:hAnsi="Arial" w:cs="Arial"/>
            <w:sz w:val="28"/>
            <w:szCs w:val="28"/>
          </w:rPr>
          <w:t>Compact Commission</w:t>
        </w:r>
      </w:hyperlink>
      <w:r w:rsidRPr="00667A13">
        <w:rPr>
          <w:rFonts w:ascii="Arial" w:hAnsi="Arial" w:cs="Arial"/>
          <w:color w:val="000000"/>
          <w:sz w:val="28"/>
          <w:szCs w:val="28"/>
        </w:rPr>
        <w:t>, which is composed of one Delegate from each member state's licensing board or agency. </w:t>
      </w:r>
    </w:p>
    <w:p w14:paraId="57146DF0"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r w:rsidRPr="00667A13">
        <w:rPr>
          <w:rFonts w:ascii="Arial" w:hAnsi="Arial" w:cs="Arial"/>
          <w:color w:val="000000"/>
          <w:sz w:val="28"/>
          <w:szCs w:val="28"/>
        </w:rPr>
        <w:t>"The Compact permits eligible licensed professional counselors to practice in Compact member states, provided that they are licensed in at least one member state," the bill reads. </w:t>
      </w:r>
    </w:p>
    <w:p w14:paraId="45CA66A8"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p>
    <w:p w14:paraId="00D1060A"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r w:rsidRPr="00667A13">
        <w:rPr>
          <w:rStyle w:val="Strong"/>
          <w:rFonts w:ascii="Arial" w:hAnsi="Arial" w:cs="Arial"/>
          <w:color w:val="000000"/>
          <w:sz w:val="28"/>
          <w:szCs w:val="28"/>
        </w:rPr>
        <w:t>5. Health care provider panels and continuity of care</w:t>
      </w:r>
    </w:p>
    <w:p w14:paraId="6DE15A4A"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r w:rsidRPr="00667A13">
        <w:rPr>
          <w:rFonts w:ascii="Arial" w:hAnsi="Arial" w:cs="Arial"/>
          <w:color w:val="000000"/>
          <w:sz w:val="28"/>
          <w:szCs w:val="28"/>
        </w:rPr>
        <w:t>House Bill 2354 was introduced by Delegate Robert D. Orrock, Sr. (R) - House District 54 and aims to ensure the continuity of health care when there are changes to health insurance. </w:t>
      </w:r>
    </w:p>
    <w:p w14:paraId="7951AC9C"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p>
    <w:p w14:paraId="4D57DF6C"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r w:rsidRPr="00667A13">
        <w:rPr>
          <w:rFonts w:ascii="Arial" w:hAnsi="Arial" w:cs="Arial"/>
          <w:color w:val="000000"/>
          <w:sz w:val="28"/>
          <w:szCs w:val="28"/>
        </w:rPr>
        <w:t>"[HB 2354] makes various changes to provisions related to the continuity of care for an enrollee after a provider is terminated from a health insurance carrier's provider panel," the bill reads. </w:t>
      </w:r>
    </w:p>
    <w:p w14:paraId="3F230ABA"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p>
    <w:p w14:paraId="3E5F48E7"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r w:rsidRPr="00667A13">
        <w:rPr>
          <w:rFonts w:ascii="Arial" w:hAnsi="Arial" w:cs="Arial"/>
          <w:color w:val="000000"/>
          <w:sz w:val="28"/>
          <w:szCs w:val="28"/>
        </w:rPr>
        <w:t>Specifically, the law requires health insurance companies that use a "provider panel" — a certain type of contract with hospitals, physicians or other types of health care providers — to establish procedures for notifying enrollees when those providers are terminated.</w:t>
      </w:r>
    </w:p>
    <w:p w14:paraId="687C9CC2"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p>
    <w:p w14:paraId="0F96AC53"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r w:rsidRPr="00667A13">
        <w:rPr>
          <w:rFonts w:ascii="Arial" w:hAnsi="Arial" w:cs="Arial"/>
          <w:color w:val="000000"/>
          <w:sz w:val="28"/>
          <w:szCs w:val="28"/>
        </w:rPr>
        <w:t>The notification is required for providers "furnishing health care services to the enrollee or furnished health care services to the enrollee in the six months prior to the notice."</w:t>
      </w:r>
    </w:p>
    <w:p w14:paraId="225DAA92"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p>
    <w:p w14:paraId="7E656246"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r w:rsidRPr="00667A13">
        <w:rPr>
          <w:rFonts w:ascii="Arial" w:hAnsi="Arial" w:cs="Arial"/>
          <w:color w:val="000000"/>
          <w:sz w:val="28"/>
          <w:szCs w:val="28"/>
        </w:rPr>
        <w:t>The law also requires notification of "the right of an enrollee upon request to continue to receive health care services as provided in the law following the provider's termination from a carrier's provider panel."</w:t>
      </w:r>
    </w:p>
    <w:p w14:paraId="12782353"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p>
    <w:p w14:paraId="25EFDF6D"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p>
    <w:p w14:paraId="7E5B1BE1"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p>
    <w:p w14:paraId="08498B4A" w14:textId="77777777" w:rsidR="007C745C" w:rsidRDefault="007C745C" w:rsidP="00667A13">
      <w:pPr>
        <w:pStyle w:val="NormalWeb"/>
        <w:shd w:val="clear" w:color="auto" w:fill="FFFFFF"/>
        <w:spacing w:before="0" w:beforeAutospacing="0" w:after="0" w:afterAutospacing="0"/>
        <w:rPr>
          <w:rFonts w:ascii="Arial" w:hAnsi="Arial" w:cs="Arial"/>
          <w:color w:val="000000"/>
          <w:sz w:val="28"/>
          <w:szCs w:val="28"/>
        </w:rPr>
      </w:pPr>
    </w:p>
    <w:p w14:paraId="087155CD" w14:textId="77777777" w:rsidR="00667A13" w:rsidRPr="007C745C" w:rsidRDefault="00667A13" w:rsidP="00667A13">
      <w:pPr>
        <w:pStyle w:val="NormalWeb"/>
        <w:shd w:val="clear" w:color="auto" w:fill="FFFFFF"/>
        <w:spacing w:before="0" w:beforeAutospacing="0" w:after="0" w:afterAutospacing="0"/>
        <w:rPr>
          <w:rFonts w:ascii="Arial" w:hAnsi="Arial" w:cs="Arial"/>
          <w:b/>
          <w:color w:val="000000"/>
          <w:sz w:val="40"/>
          <w:szCs w:val="40"/>
        </w:rPr>
      </w:pPr>
      <w:r w:rsidRPr="007C745C">
        <w:rPr>
          <w:rFonts w:ascii="Arial" w:hAnsi="Arial" w:cs="Arial"/>
          <w:b/>
          <w:color w:val="000000"/>
          <w:sz w:val="40"/>
          <w:szCs w:val="40"/>
        </w:rPr>
        <w:lastRenderedPageBreak/>
        <w:t xml:space="preserve">Bills to watch in the upcoming Virginia legislative session:  </w:t>
      </w:r>
    </w:p>
    <w:p w14:paraId="7EF54A9F" w14:textId="77777777" w:rsidR="00667A13" w:rsidRDefault="00667A13" w:rsidP="00667A13">
      <w:pPr>
        <w:pStyle w:val="NormalWeb"/>
        <w:shd w:val="clear" w:color="auto" w:fill="FFFFFF"/>
        <w:spacing w:before="0" w:beforeAutospacing="0" w:after="0" w:afterAutospacing="0"/>
        <w:rPr>
          <w:rFonts w:ascii="Arial" w:hAnsi="Arial" w:cs="Arial"/>
          <w:color w:val="000000"/>
          <w:sz w:val="28"/>
          <w:szCs w:val="28"/>
        </w:rPr>
      </w:pPr>
    </w:p>
    <w:p w14:paraId="233CBBF6" w14:textId="77777777" w:rsidR="00667A13" w:rsidRPr="00667A13" w:rsidRDefault="00667A13" w:rsidP="00667A13">
      <w:pPr>
        <w:pStyle w:val="NormalWeb"/>
        <w:shd w:val="clear" w:color="auto" w:fill="FFFFFF"/>
        <w:spacing w:before="0" w:beforeAutospacing="0" w:after="0" w:afterAutospacing="0"/>
        <w:rPr>
          <w:rFonts w:ascii="Arial" w:hAnsi="Arial" w:cs="Arial"/>
          <w:b/>
          <w:color w:val="000000"/>
          <w:sz w:val="28"/>
          <w:szCs w:val="28"/>
        </w:rPr>
      </w:pPr>
      <w:r w:rsidRPr="00667A13">
        <w:rPr>
          <w:rFonts w:ascii="Arial" w:hAnsi="Arial" w:cs="Arial"/>
          <w:b/>
          <w:color w:val="000000"/>
          <w:sz w:val="28"/>
          <w:szCs w:val="28"/>
        </w:rPr>
        <w:t>Virginia’s 2024 General Assembly session will start January 10, 2024.  Over 180 House bills and almost 80 Senate bills have been filed ahead of the 2024 General Assembly Session</w:t>
      </w:r>
    </w:p>
    <w:p w14:paraId="6C038C21" w14:textId="77777777" w:rsidR="00667A13" w:rsidRPr="00667A13" w:rsidRDefault="00667A13" w:rsidP="00667A13">
      <w:pPr>
        <w:pStyle w:val="NormalWeb"/>
        <w:shd w:val="clear" w:color="auto" w:fill="FFFFFF"/>
        <w:spacing w:before="0" w:beforeAutospacing="0" w:after="0" w:afterAutospacing="0"/>
        <w:rPr>
          <w:rFonts w:ascii="Arial" w:hAnsi="Arial" w:cs="Arial"/>
          <w:color w:val="000000"/>
          <w:sz w:val="28"/>
          <w:szCs w:val="28"/>
        </w:rPr>
      </w:pPr>
    </w:p>
    <w:p w14:paraId="5F23BDEE" w14:textId="77777777" w:rsidR="00667A13" w:rsidRDefault="00667A13" w:rsidP="00667A13">
      <w:pPr>
        <w:pStyle w:val="sc-bczrlj"/>
        <w:numPr>
          <w:ilvl w:val="0"/>
          <w:numId w:val="1"/>
        </w:numPr>
        <w:spacing w:before="0" w:beforeAutospacing="0" w:after="0" w:afterAutospacing="0"/>
        <w:ind w:left="360"/>
        <w:rPr>
          <w:rFonts w:ascii="Arial" w:hAnsi="Arial" w:cs="Arial"/>
          <w:sz w:val="28"/>
          <w:szCs w:val="28"/>
        </w:rPr>
      </w:pPr>
      <w:r w:rsidRPr="00667A13">
        <w:rPr>
          <w:rFonts w:ascii="Arial" w:hAnsi="Arial" w:cs="Arial"/>
          <w:sz w:val="28"/>
          <w:szCs w:val="28"/>
        </w:rPr>
        <w:t>One bill being presented in the </w:t>
      </w:r>
      <w:hyperlink r:id="rId8" w:tgtFrame="_blank" w:history="1">
        <w:r w:rsidRPr="00667A13">
          <w:rPr>
            <w:rStyle w:val="Hyperlink"/>
            <w:rFonts w:ascii="Arial" w:hAnsi="Arial" w:cs="Arial"/>
            <w:bCs/>
            <w:color w:val="auto"/>
            <w:sz w:val="28"/>
            <w:szCs w:val="28"/>
            <w:u w:val="none"/>
          </w:rPr>
          <w:t>House </w:t>
        </w:r>
      </w:hyperlink>
      <w:r w:rsidRPr="00667A13">
        <w:rPr>
          <w:rFonts w:ascii="Arial" w:hAnsi="Arial" w:cs="Arial"/>
          <w:sz w:val="28"/>
          <w:szCs w:val="28"/>
        </w:rPr>
        <w:t>and </w:t>
      </w:r>
      <w:hyperlink r:id="rId9" w:tgtFrame="_blank" w:history="1">
        <w:r w:rsidRPr="00667A13">
          <w:rPr>
            <w:rStyle w:val="Hyperlink"/>
            <w:rFonts w:ascii="Arial" w:hAnsi="Arial" w:cs="Arial"/>
            <w:bCs/>
            <w:color w:val="auto"/>
            <w:sz w:val="28"/>
            <w:szCs w:val="28"/>
            <w:u w:val="none"/>
          </w:rPr>
          <w:t>Senate </w:t>
        </w:r>
      </w:hyperlink>
      <w:r w:rsidRPr="00667A13">
        <w:rPr>
          <w:rFonts w:ascii="Arial" w:hAnsi="Arial" w:cs="Arial"/>
          <w:sz w:val="28"/>
          <w:szCs w:val="28"/>
        </w:rPr>
        <w:t>is pushing to raise the minimum wage to $13.50 an hour.</w:t>
      </w:r>
    </w:p>
    <w:p w14:paraId="793A3BAF" w14:textId="77777777" w:rsidR="00667A13" w:rsidRPr="00667A13" w:rsidRDefault="00667A13" w:rsidP="00667A13">
      <w:pPr>
        <w:pStyle w:val="sc-bczrlj"/>
        <w:spacing w:before="0" w:beforeAutospacing="0" w:after="0" w:afterAutospacing="0"/>
        <w:ind w:left="360"/>
        <w:rPr>
          <w:rFonts w:ascii="Arial" w:hAnsi="Arial" w:cs="Arial"/>
          <w:sz w:val="28"/>
          <w:szCs w:val="28"/>
        </w:rPr>
      </w:pPr>
    </w:p>
    <w:p w14:paraId="4A109BD0" w14:textId="77777777" w:rsidR="00667A13" w:rsidRDefault="00667A13" w:rsidP="00667A13">
      <w:pPr>
        <w:pStyle w:val="sc-bczrlj"/>
        <w:spacing w:before="0" w:beforeAutospacing="0" w:after="0" w:afterAutospacing="0"/>
        <w:ind w:left="360"/>
        <w:rPr>
          <w:rFonts w:ascii="Arial" w:hAnsi="Arial" w:cs="Arial"/>
          <w:sz w:val="28"/>
          <w:szCs w:val="28"/>
        </w:rPr>
      </w:pPr>
      <w:r w:rsidRPr="00667A13">
        <w:rPr>
          <w:rFonts w:ascii="Arial" w:hAnsi="Arial" w:cs="Arial"/>
          <w:sz w:val="28"/>
          <w:szCs w:val="28"/>
        </w:rPr>
        <w:t>The current state minimum wage is $12.</w:t>
      </w:r>
    </w:p>
    <w:p w14:paraId="7A36627C" w14:textId="77777777" w:rsidR="00667A13" w:rsidRPr="00667A13" w:rsidRDefault="00667A13" w:rsidP="00667A13">
      <w:pPr>
        <w:pStyle w:val="sc-bczrlj"/>
        <w:spacing w:before="0" w:beforeAutospacing="0" w:after="0" w:afterAutospacing="0"/>
        <w:ind w:left="360"/>
        <w:rPr>
          <w:rFonts w:ascii="Arial" w:hAnsi="Arial" w:cs="Arial"/>
          <w:sz w:val="28"/>
          <w:szCs w:val="28"/>
        </w:rPr>
      </w:pPr>
    </w:p>
    <w:p w14:paraId="136D2CC8" w14:textId="77777777" w:rsidR="00667A13" w:rsidRDefault="00667A13" w:rsidP="00667A13">
      <w:pPr>
        <w:pStyle w:val="sc-bczrlj"/>
        <w:spacing w:before="0" w:beforeAutospacing="0" w:after="0" w:afterAutospacing="0"/>
        <w:ind w:left="360"/>
        <w:rPr>
          <w:rFonts w:ascii="Arial" w:hAnsi="Arial" w:cs="Arial"/>
          <w:sz w:val="28"/>
          <w:szCs w:val="28"/>
        </w:rPr>
      </w:pPr>
      <w:r w:rsidRPr="00667A13">
        <w:rPr>
          <w:rFonts w:ascii="Arial" w:hAnsi="Arial" w:cs="Arial"/>
          <w:sz w:val="28"/>
          <w:szCs w:val="28"/>
        </w:rPr>
        <w:t>If the bill passes, the minimum wage will go up to $13.50 by 2025 and $15 by 2026.</w:t>
      </w:r>
    </w:p>
    <w:p w14:paraId="5E5BA057" w14:textId="77777777" w:rsidR="00667A13" w:rsidRPr="00667A13" w:rsidRDefault="00667A13" w:rsidP="00667A13">
      <w:pPr>
        <w:pStyle w:val="sc-bczrlj"/>
        <w:spacing w:before="0" w:beforeAutospacing="0" w:after="0" w:afterAutospacing="0"/>
        <w:rPr>
          <w:rFonts w:ascii="Arial" w:hAnsi="Arial" w:cs="Arial"/>
          <w:sz w:val="28"/>
          <w:szCs w:val="28"/>
        </w:rPr>
      </w:pPr>
    </w:p>
    <w:p w14:paraId="7C22FF78" w14:textId="77777777" w:rsidR="00667A13" w:rsidRDefault="00667A13" w:rsidP="00667A13">
      <w:pPr>
        <w:pStyle w:val="sc-bczrlj"/>
        <w:numPr>
          <w:ilvl w:val="0"/>
          <w:numId w:val="1"/>
        </w:numPr>
        <w:spacing w:before="0" w:beforeAutospacing="0" w:after="0" w:afterAutospacing="0"/>
        <w:ind w:left="360"/>
        <w:rPr>
          <w:rFonts w:ascii="Arial" w:hAnsi="Arial" w:cs="Arial"/>
          <w:sz w:val="28"/>
          <w:szCs w:val="28"/>
        </w:rPr>
      </w:pPr>
      <w:r w:rsidRPr="00667A13">
        <w:rPr>
          <w:rFonts w:ascii="Arial" w:hAnsi="Arial" w:cs="Arial"/>
          <w:sz w:val="28"/>
          <w:szCs w:val="28"/>
        </w:rPr>
        <w:t>Another </w:t>
      </w:r>
      <w:hyperlink r:id="rId10" w:tgtFrame="_blank" w:history="1">
        <w:r w:rsidRPr="00667A13">
          <w:rPr>
            <w:rStyle w:val="Hyperlink"/>
            <w:rFonts w:ascii="Arial" w:hAnsi="Arial" w:cs="Arial"/>
            <w:bCs/>
            <w:color w:val="auto"/>
            <w:sz w:val="28"/>
            <w:szCs w:val="28"/>
            <w:u w:val="none"/>
          </w:rPr>
          <w:t>proposed House bill</w:t>
        </w:r>
      </w:hyperlink>
      <w:r w:rsidRPr="00667A13">
        <w:rPr>
          <w:rFonts w:ascii="Arial" w:hAnsi="Arial" w:cs="Arial"/>
          <w:sz w:val="28"/>
          <w:szCs w:val="28"/>
        </w:rPr>
        <w:t> would allow local governments to set up traffic speed cameras in any location deemed necessary.</w:t>
      </w:r>
    </w:p>
    <w:p w14:paraId="65AFA4F0" w14:textId="77777777" w:rsidR="00667A13" w:rsidRPr="00667A13" w:rsidRDefault="00667A13" w:rsidP="00667A13">
      <w:pPr>
        <w:pStyle w:val="sc-bczrlj"/>
        <w:spacing w:before="0" w:beforeAutospacing="0" w:after="0" w:afterAutospacing="0"/>
        <w:ind w:left="360"/>
        <w:rPr>
          <w:rFonts w:ascii="Arial" w:hAnsi="Arial" w:cs="Arial"/>
          <w:sz w:val="28"/>
          <w:szCs w:val="28"/>
        </w:rPr>
      </w:pPr>
    </w:p>
    <w:p w14:paraId="1E577F41" w14:textId="77777777" w:rsidR="00667A13" w:rsidRDefault="00667A13" w:rsidP="00667A13">
      <w:pPr>
        <w:pStyle w:val="sc-bczrlj"/>
        <w:spacing w:before="0" w:beforeAutospacing="0" w:after="0" w:afterAutospacing="0"/>
        <w:ind w:left="360"/>
        <w:rPr>
          <w:rFonts w:ascii="Arial" w:hAnsi="Arial" w:cs="Arial"/>
          <w:sz w:val="28"/>
          <w:szCs w:val="28"/>
        </w:rPr>
      </w:pPr>
      <w:r w:rsidRPr="00667A13">
        <w:rPr>
          <w:rFonts w:ascii="Arial" w:hAnsi="Arial" w:cs="Arial"/>
          <w:sz w:val="28"/>
          <w:szCs w:val="28"/>
        </w:rPr>
        <w:t>However, it would also require two signs instead of just one warning about the camera if it’s placed somewhere other than a school or highway work zone.</w:t>
      </w:r>
    </w:p>
    <w:p w14:paraId="1DB9A1F4" w14:textId="77777777" w:rsidR="00667A13" w:rsidRPr="00667A13" w:rsidRDefault="00667A13" w:rsidP="00667A13">
      <w:pPr>
        <w:pStyle w:val="sc-bczrlj"/>
        <w:spacing w:before="0" w:beforeAutospacing="0" w:after="0" w:afterAutospacing="0"/>
        <w:rPr>
          <w:rFonts w:ascii="Arial" w:hAnsi="Arial" w:cs="Arial"/>
          <w:sz w:val="28"/>
          <w:szCs w:val="28"/>
        </w:rPr>
      </w:pPr>
    </w:p>
    <w:p w14:paraId="7586D019" w14:textId="77777777" w:rsidR="00667A13" w:rsidRDefault="00667A13" w:rsidP="00667A13">
      <w:pPr>
        <w:pStyle w:val="sc-bczrlj"/>
        <w:numPr>
          <w:ilvl w:val="0"/>
          <w:numId w:val="1"/>
        </w:numPr>
        <w:spacing w:before="0" w:beforeAutospacing="0" w:after="0" w:afterAutospacing="0"/>
        <w:ind w:left="360"/>
        <w:rPr>
          <w:rFonts w:ascii="Arial" w:hAnsi="Arial" w:cs="Arial"/>
          <w:sz w:val="28"/>
          <w:szCs w:val="28"/>
        </w:rPr>
      </w:pPr>
      <w:r>
        <w:rPr>
          <w:rFonts w:ascii="Arial" w:hAnsi="Arial" w:cs="Arial"/>
          <w:sz w:val="28"/>
          <w:szCs w:val="28"/>
        </w:rPr>
        <w:t>A</w:t>
      </w:r>
      <w:r w:rsidRPr="00667A13">
        <w:rPr>
          <w:rFonts w:ascii="Arial" w:hAnsi="Arial" w:cs="Arial"/>
          <w:sz w:val="28"/>
          <w:szCs w:val="28"/>
        </w:rPr>
        <w:t xml:space="preserve"> house proposal to charge anyone who lets a child carry a firearm, or knows they can access the gun, </w:t>
      </w:r>
      <w:hyperlink r:id="rId11" w:tgtFrame="_blank" w:history="1">
        <w:r w:rsidRPr="00667A13">
          <w:rPr>
            <w:rStyle w:val="Hyperlink"/>
            <w:rFonts w:ascii="Arial" w:hAnsi="Arial" w:cs="Arial"/>
            <w:bCs/>
            <w:color w:val="auto"/>
            <w:sz w:val="28"/>
            <w:szCs w:val="28"/>
            <w:u w:val="none"/>
          </w:rPr>
          <w:t>would be charged with a misdemeanor</w:t>
        </w:r>
      </w:hyperlink>
      <w:r w:rsidRPr="00667A13">
        <w:rPr>
          <w:rFonts w:ascii="Arial" w:hAnsi="Arial" w:cs="Arial"/>
          <w:sz w:val="28"/>
          <w:szCs w:val="28"/>
        </w:rPr>
        <w:t>.</w:t>
      </w:r>
    </w:p>
    <w:p w14:paraId="4FEA53B4" w14:textId="77777777" w:rsidR="00667A13" w:rsidRPr="00667A13" w:rsidRDefault="00667A13" w:rsidP="00667A13">
      <w:pPr>
        <w:pStyle w:val="sc-bczrlj"/>
        <w:spacing w:before="0" w:beforeAutospacing="0" w:after="0" w:afterAutospacing="0"/>
        <w:ind w:left="360"/>
        <w:rPr>
          <w:rFonts w:ascii="Arial" w:hAnsi="Arial" w:cs="Arial"/>
          <w:sz w:val="28"/>
          <w:szCs w:val="28"/>
        </w:rPr>
      </w:pPr>
    </w:p>
    <w:p w14:paraId="6B9A0DB5" w14:textId="77777777" w:rsidR="00667A13" w:rsidRDefault="00667A13" w:rsidP="00667A13">
      <w:pPr>
        <w:pStyle w:val="sc-bczrlj"/>
        <w:spacing w:before="0" w:beforeAutospacing="0" w:after="0" w:afterAutospacing="0"/>
        <w:ind w:left="360"/>
        <w:rPr>
          <w:rFonts w:ascii="Arial" w:hAnsi="Arial" w:cs="Arial"/>
          <w:sz w:val="28"/>
          <w:szCs w:val="28"/>
        </w:rPr>
      </w:pPr>
      <w:r w:rsidRPr="00667A13">
        <w:rPr>
          <w:rFonts w:ascii="Arial" w:hAnsi="Arial" w:cs="Arial"/>
          <w:sz w:val="28"/>
          <w:szCs w:val="28"/>
        </w:rPr>
        <w:t>The bill would also elevate the penalty to a Class 5 felony if the owner knows the minor has been charged with a felony, or has been the subject of a school-initiated threat assessment.</w:t>
      </w:r>
    </w:p>
    <w:p w14:paraId="100CD97C" w14:textId="77777777" w:rsidR="00667A13" w:rsidRDefault="00667A13" w:rsidP="00667A13">
      <w:pPr>
        <w:pStyle w:val="sc-bczrlj"/>
        <w:spacing w:before="0" w:beforeAutospacing="0" w:after="0" w:afterAutospacing="0"/>
        <w:rPr>
          <w:rFonts w:ascii="Arial" w:hAnsi="Arial" w:cs="Arial"/>
          <w:sz w:val="28"/>
          <w:szCs w:val="28"/>
        </w:rPr>
      </w:pPr>
    </w:p>
    <w:p w14:paraId="58001FEB" w14:textId="77777777" w:rsidR="00667A13" w:rsidRPr="007C745C" w:rsidRDefault="00667A13" w:rsidP="00667A13">
      <w:pPr>
        <w:pStyle w:val="sc-bczrlj"/>
        <w:numPr>
          <w:ilvl w:val="0"/>
          <w:numId w:val="1"/>
        </w:numPr>
        <w:spacing w:before="0" w:beforeAutospacing="0" w:after="0" w:afterAutospacing="0"/>
        <w:ind w:left="360"/>
        <w:rPr>
          <w:rFonts w:ascii="Arial" w:hAnsi="Arial" w:cs="Arial"/>
          <w:sz w:val="28"/>
          <w:szCs w:val="28"/>
        </w:rPr>
      </w:pPr>
      <w:r w:rsidRPr="007C745C">
        <w:rPr>
          <w:rFonts w:ascii="Arial" w:hAnsi="Arial" w:cs="Arial"/>
          <w:color w:val="000000"/>
          <w:sz w:val="28"/>
          <w:szCs w:val="28"/>
          <w:shd w:val="clear" w:color="auto" w:fill="FFFFFF"/>
        </w:rPr>
        <w:t>Virginia is currently the southern-most state that hasn't widely banned or restricted abortion since the Supreme Court struck down a nationwide right to abortion last year. Right now, abortion is banned in Virginia after 26 weeks.</w:t>
      </w:r>
    </w:p>
    <w:p w14:paraId="17D56B37" w14:textId="77777777" w:rsidR="007C745C" w:rsidRDefault="007C745C" w:rsidP="007C745C">
      <w:pPr>
        <w:pStyle w:val="sc-bczrlj"/>
        <w:spacing w:before="0" w:beforeAutospacing="0" w:after="0" w:afterAutospacing="0"/>
        <w:ind w:left="360"/>
        <w:rPr>
          <w:rFonts w:ascii="Arial" w:hAnsi="Arial" w:cs="Arial"/>
          <w:sz w:val="28"/>
          <w:szCs w:val="28"/>
        </w:rPr>
      </w:pPr>
    </w:p>
    <w:p w14:paraId="717EE595" w14:textId="77777777" w:rsidR="007C745C" w:rsidRDefault="007C745C" w:rsidP="007C745C">
      <w:pPr>
        <w:shd w:val="clear" w:color="auto" w:fill="FFFFFF"/>
        <w:spacing w:line="240" w:lineRule="auto"/>
        <w:ind w:left="360"/>
        <w:rPr>
          <w:rFonts w:ascii="Arial" w:eastAsia="Times New Roman" w:hAnsi="Arial" w:cs="Arial"/>
          <w:sz w:val="28"/>
          <w:szCs w:val="28"/>
        </w:rPr>
      </w:pPr>
      <w:r w:rsidRPr="007C745C">
        <w:rPr>
          <w:rFonts w:ascii="Arial" w:eastAsia="Times New Roman" w:hAnsi="Arial" w:cs="Arial"/>
          <w:sz w:val="28"/>
          <w:szCs w:val="28"/>
        </w:rPr>
        <w:t>A proposed constitutional amendment by Democrats to provide that every person has the fundamental right to reproductive freedom. Meaning, a person would not be denied the right to make their own decisions regarding abortion. </w:t>
      </w:r>
    </w:p>
    <w:p w14:paraId="2C3A85B5" w14:textId="77777777" w:rsidR="007C745C" w:rsidRPr="007C745C" w:rsidRDefault="007C745C" w:rsidP="007C745C">
      <w:pPr>
        <w:shd w:val="clear" w:color="auto" w:fill="FFFFFF"/>
        <w:spacing w:line="240" w:lineRule="auto"/>
        <w:ind w:left="360"/>
        <w:rPr>
          <w:rFonts w:ascii="Arial" w:eastAsia="Times New Roman" w:hAnsi="Arial" w:cs="Arial"/>
          <w:sz w:val="28"/>
          <w:szCs w:val="28"/>
        </w:rPr>
      </w:pPr>
    </w:p>
    <w:p w14:paraId="5C283EE7" w14:textId="77777777" w:rsidR="007C745C" w:rsidRPr="007C745C" w:rsidRDefault="007C745C" w:rsidP="007C745C">
      <w:pPr>
        <w:shd w:val="clear" w:color="auto" w:fill="FFFFFF"/>
        <w:spacing w:line="240" w:lineRule="auto"/>
        <w:rPr>
          <w:rFonts w:ascii="Arial" w:eastAsia="Times New Roman" w:hAnsi="Arial" w:cs="Arial"/>
          <w:sz w:val="28"/>
          <w:szCs w:val="28"/>
        </w:rPr>
      </w:pPr>
      <w:r w:rsidRPr="007C745C">
        <w:rPr>
          <w:rFonts w:ascii="Arial" w:eastAsia="Times New Roman" w:hAnsi="Arial" w:cs="Arial"/>
          <w:sz w:val="28"/>
          <w:szCs w:val="28"/>
        </w:rPr>
        <w:t>Though, this would have to pass two years in a row, and then voters would have the final say on their ballots.</w:t>
      </w:r>
    </w:p>
    <w:p w14:paraId="0F020F12" w14:textId="77777777" w:rsidR="007C745C" w:rsidRPr="007C745C" w:rsidRDefault="00000000" w:rsidP="007C745C">
      <w:pPr>
        <w:shd w:val="clear" w:color="auto" w:fill="FFFFFF"/>
        <w:spacing w:line="240" w:lineRule="auto"/>
        <w:rPr>
          <w:rFonts w:ascii="Arial" w:eastAsia="Times New Roman" w:hAnsi="Arial" w:cs="Arial"/>
          <w:sz w:val="28"/>
          <w:szCs w:val="28"/>
        </w:rPr>
      </w:pPr>
      <w:hyperlink r:id="rId12" w:history="1">
        <w:r w:rsidR="007C745C" w:rsidRPr="007C745C">
          <w:rPr>
            <w:rStyle w:val="Hyperlink"/>
            <w:rFonts w:ascii="Arial" w:hAnsi="Arial" w:cs="Arial"/>
            <w:sz w:val="28"/>
            <w:szCs w:val="28"/>
          </w:rPr>
          <w:t>LIS &gt; Bill Tracking &gt; SJ1 &gt; 2024 session (virginia.gov)</w:t>
        </w:r>
      </w:hyperlink>
    </w:p>
    <w:p w14:paraId="5D08CF46" w14:textId="77777777" w:rsidR="007C745C" w:rsidRPr="007C745C" w:rsidRDefault="007C745C" w:rsidP="007C745C">
      <w:pPr>
        <w:pStyle w:val="sc-bczrlj"/>
        <w:spacing w:before="0" w:beforeAutospacing="0" w:after="0" w:afterAutospacing="0"/>
        <w:ind w:left="360"/>
        <w:rPr>
          <w:rFonts w:ascii="Arial" w:hAnsi="Arial" w:cs="Arial"/>
          <w:sz w:val="28"/>
          <w:szCs w:val="28"/>
        </w:rPr>
      </w:pPr>
    </w:p>
    <w:p w14:paraId="360490F0" w14:textId="77777777" w:rsidR="00667A13" w:rsidRDefault="00667A13" w:rsidP="00667A13">
      <w:pPr>
        <w:pStyle w:val="NormalWeb"/>
        <w:shd w:val="clear" w:color="auto" w:fill="FFFFFF"/>
        <w:spacing w:before="0" w:beforeAutospacing="0" w:after="0" w:afterAutospacing="0"/>
        <w:rPr>
          <w:rFonts w:ascii="Arial" w:hAnsi="Arial" w:cs="Arial"/>
          <w:color w:val="000000"/>
          <w:sz w:val="27"/>
          <w:szCs w:val="27"/>
        </w:rPr>
      </w:pPr>
    </w:p>
    <w:p w14:paraId="68391F3A" w14:textId="77777777" w:rsidR="00050BB9" w:rsidRDefault="00050BB9"/>
    <w:p w14:paraId="726FDE51" w14:textId="77777777" w:rsidR="007C745C" w:rsidRDefault="007C745C"/>
    <w:p w14:paraId="48B0B8FE" w14:textId="77777777" w:rsidR="007C745C" w:rsidRDefault="007C745C"/>
    <w:p w14:paraId="3EB5D3F2" w14:textId="77777777" w:rsidR="007C745C" w:rsidRDefault="007C745C"/>
    <w:p w14:paraId="6090C56D" w14:textId="77777777" w:rsidR="007C745C" w:rsidRDefault="007C745C"/>
    <w:p w14:paraId="2CF2D09F" w14:textId="77777777" w:rsidR="007C745C" w:rsidRDefault="007C745C"/>
    <w:p w14:paraId="7A3A3E6C" w14:textId="77777777" w:rsidR="007C745C" w:rsidRDefault="007C745C"/>
    <w:p w14:paraId="2779AD32" w14:textId="77777777" w:rsidR="007C745C" w:rsidRDefault="007C745C"/>
    <w:p w14:paraId="01F629AA" w14:textId="77777777" w:rsidR="007C745C" w:rsidRDefault="007C745C"/>
    <w:p w14:paraId="5BA911B5" w14:textId="77777777" w:rsidR="007C745C" w:rsidRDefault="007C745C"/>
    <w:p w14:paraId="00193A61" w14:textId="77777777" w:rsidR="007C745C" w:rsidRDefault="007C745C"/>
    <w:p w14:paraId="62E15BC0" w14:textId="77777777" w:rsidR="007C745C" w:rsidRDefault="007C745C"/>
    <w:p w14:paraId="7A89BDA6" w14:textId="77777777" w:rsidR="007C745C" w:rsidRDefault="007C745C"/>
    <w:p w14:paraId="113D7C2C" w14:textId="77777777" w:rsidR="007C745C" w:rsidRDefault="007C745C"/>
    <w:p w14:paraId="7ED168FD" w14:textId="77777777" w:rsidR="007C745C" w:rsidRDefault="007C745C"/>
    <w:p w14:paraId="42B5BD47" w14:textId="77777777" w:rsidR="007C745C" w:rsidRDefault="007C745C"/>
    <w:p w14:paraId="512B20F0" w14:textId="77777777" w:rsidR="007C745C" w:rsidRDefault="007C745C"/>
    <w:p w14:paraId="7E9B7059" w14:textId="77777777" w:rsidR="007C745C" w:rsidRDefault="007C745C"/>
    <w:p w14:paraId="2C320C61" w14:textId="77777777" w:rsidR="007C745C" w:rsidRDefault="007C745C"/>
    <w:p w14:paraId="1711BD6F" w14:textId="77777777" w:rsidR="007C745C" w:rsidRDefault="007C745C"/>
    <w:p w14:paraId="1E9CF6C9" w14:textId="77777777" w:rsidR="007C745C" w:rsidRDefault="007C745C"/>
    <w:p w14:paraId="06B43DFC" w14:textId="77777777" w:rsidR="007C745C" w:rsidRDefault="007C745C"/>
    <w:p w14:paraId="4BBAB288" w14:textId="77777777" w:rsidR="007C745C" w:rsidRDefault="007C745C"/>
    <w:p w14:paraId="545FD7E8" w14:textId="77777777" w:rsidR="007C745C" w:rsidRDefault="007C745C">
      <w:pPr>
        <w:rPr>
          <w:rFonts w:ascii="Arial" w:hAnsi="Arial" w:cs="Arial"/>
          <w:b/>
          <w:sz w:val="40"/>
          <w:szCs w:val="40"/>
        </w:rPr>
      </w:pPr>
      <w:r w:rsidRPr="007C745C">
        <w:rPr>
          <w:rFonts w:ascii="Arial" w:hAnsi="Arial" w:cs="Arial"/>
          <w:b/>
          <w:sz w:val="40"/>
          <w:szCs w:val="40"/>
        </w:rPr>
        <w:lastRenderedPageBreak/>
        <w:t>Title IX Regulations</w:t>
      </w:r>
      <w:r>
        <w:rPr>
          <w:rFonts w:ascii="Arial" w:hAnsi="Arial" w:cs="Arial"/>
          <w:b/>
          <w:sz w:val="40"/>
          <w:szCs w:val="40"/>
        </w:rPr>
        <w:t>:</w:t>
      </w:r>
    </w:p>
    <w:p w14:paraId="7BEACA93" w14:textId="77777777" w:rsidR="007C745C" w:rsidRDefault="007C745C" w:rsidP="007C745C">
      <w:pPr>
        <w:pStyle w:val="NormalWeb"/>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sz w:val="28"/>
          <w:szCs w:val="28"/>
          <w:bdr w:val="none" w:sz="0" w:space="0" w:color="auto" w:frame="1"/>
        </w:rPr>
        <w:t>Last month new information was posted on </w:t>
      </w:r>
      <w:r w:rsidRPr="007C745C">
        <w:rPr>
          <w:rFonts w:ascii="inherit" w:hAnsi="inherit" w:cs="Calibri"/>
          <w:color w:val="242424"/>
          <w:sz w:val="28"/>
          <w:szCs w:val="28"/>
          <w:bdr w:val="none" w:sz="0" w:space="0" w:color="auto" w:frame="1"/>
        </w:rPr>
        <w:t>reginfo.gov</w:t>
      </w:r>
      <w:r>
        <w:rPr>
          <w:rFonts w:ascii="inherit" w:hAnsi="inherit" w:cs="Calibri"/>
          <w:color w:val="242424"/>
          <w:sz w:val="28"/>
          <w:szCs w:val="28"/>
          <w:bdr w:val="none" w:sz="0" w:space="0" w:color="auto" w:frame="1"/>
        </w:rPr>
        <w:t> (Office of Management and Budget) suggesting the target release date of new Title IX regulations by the Department of Education is now sometime in March 2024. This development comes on the heels of two previous delays in aspirational release dates. Will we have new Title IX regulations in March 2024? Many in the field are skeptical. Even if the regulations are released this spring, there may be further delays in implementation as we do not have any indication of effective dates for the new regulations—and we anticipate litigation challenging the new regulations or otherwise impacting implementation.</w:t>
      </w:r>
    </w:p>
    <w:p w14:paraId="796A6DCC" w14:textId="77777777" w:rsidR="007C745C" w:rsidRDefault="007C745C" w:rsidP="007C745C">
      <w:pPr>
        <w:pStyle w:val="NormalWeb"/>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sz w:val="28"/>
          <w:szCs w:val="28"/>
          <w:bdr w:val="none" w:sz="0" w:space="0" w:color="auto" w:frame="1"/>
        </w:rPr>
        <w:t> </w:t>
      </w:r>
    </w:p>
    <w:p w14:paraId="030329D1" w14:textId="77777777" w:rsidR="007C745C" w:rsidRDefault="007C745C" w:rsidP="007C745C">
      <w:pPr>
        <w:pStyle w:val="NormalWeb"/>
        <w:shd w:val="clear" w:color="auto" w:fill="FFFFFF"/>
        <w:spacing w:before="0" w:beforeAutospacing="0" w:after="0" w:afterAutospacing="0"/>
        <w:rPr>
          <w:rFonts w:ascii="inherit" w:hAnsi="inherit" w:cs="Calibri"/>
          <w:color w:val="242424"/>
          <w:sz w:val="28"/>
          <w:szCs w:val="28"/>
          <w:bdr w:val="none" w:sz="0" w:space="0" w:color="auto" w:frame="1"/>
        </w:rPr>
      </w:pPr>
      <w:r>
        <w:rPr>
          <w:rFonts w:ascii="inherit" w:hAnsi="inherit" w:cs="Calibri"/>
          <w:color w:val="242424"/>
          <w:sz w:val="28"/>
          <w:szCs w:val="28"/>
          <w:bdr w:val="none" w:sz="0" w:space="0" w:color="auto" w:frame="1"/>
        </w:rPr>
        <w:t>Suffice it to say, it is </w:t>
      </w:r>
      <w:r>
        <w:rPr>
          <w:rFonts w:ascii="inherit" w:hAnsi="inherit" w:cs="Calibri"/>
          <w:i/>
          <w:iCs/>
          <w:color w:val="242424"/>
          <w:sz w:val="28"/>
          <w:szCs w:val="28"/>
          <w:bdr w:val="none" w:sz="0" w:space="0" w:color="auto" w:frame="1"/>
        </w:rPr>
        <w:t>imperative</w:t>
      </w:r>
      <w:r>
        <w:rPr>
          <w:rFonts w:ascii="inherit" w:hAnsi="inherit" w:cs="Calibri"/>
          <w:color w:val="242424"/>
          <w:sz w:val="28"/>
          <w:szCs w:val="28"/>
          <w:bdr w:val="none" w:sz="0" w:space="0" w:color="auto" w:frame="1"/>
        </w:rPr>
        <w:t> for Title IX operatives (coordinators, decision-makers, investigators, and anyone who runs informal Title IX adjudication processes) to remain current with their annual training. In all likelihood, the field will be working under the 2020 regulations for some time. If the implementation date for the new Title IX regulations were to be sometime in August 2024 (speculation, but seems possible) then Title IX matters arising up to that point may need to be managed under the 2020 regulations. Moreover, given the evolutionary nature of federal regulation in this area, the best way to gain a firm grasp of what is to come is to have knowledge and experience with the 2020 regulations.</w:t>
      </w:r>
    </w:p>
    <w:p w14:paraId="2B67F066" w14:textId="77777777" w:rsidR="007C745C" w:rsidRDefault="007C745C" w:rsidP="007C745C">
      <w:pPr>
        <w:pStyle w:val="NormalWeb"/>
        <w:shd w:val="clear" w:color="auto" w:fill="FFFFFF"/>
        <w:spacing w:before="0" w:beforeAutospacing="0" w:after="0" w:afterAutospacing="0"/>
        <w:rPr>
          <w:rFonts w:ascii="Calibri" w:hAnsi="Calibri" w:cs="Calibri"/>
          <w:color w:val="242424"/>
          <w:sz w:val="22"/>
          <w:szCs w:val="22"/>
        </w:rPr>
      </w:pPr>
    </w:p>
    <w:p w14:paraId="4D7E38BF" w14:textId="77777777" w:rsidR="007C745C" w:rsidRDefault="007C745C" w:rsidP="007C745C">
      <w:pPr>
        <w:pStyle w:val="NormalWeb"/>
        <w:shd w:val="clear" w:color="auto" w:fill="FFFFFF"/>
        <w:spacing w:before="0" w:beforeAutospacing="0" w:after="0" w:afterAutospacing="0"/>
        <w:rPr>
          <w:rFonts w:ascii="Calibri" w:hAnsi="Calibri" w:cs="Calibri"/>
          <w:color w:val="242424"/>
          <w:sz w:val="22"/>
          <w:szCs w:val="22"/>
        </w:rPr>
      </w:pPr>
    </w:p>
    <w:p w14:paraId="7E53D0FF" w14:textId="77777777" w:rsidR="007C745C" w:rsidRDefault="007C745C" w:rsidP="007C745C">
      <w:pPr>
        <w:pStyle w:val="NormalWeb"/>
        <w:shd w:val="clear" w:color="auto" w:fill="FFFFFF"/>
        <w:spacing w:before="0" w:beforeAutospacing="0" w:after="0" w:afterAutospacing="0"/>
        <w:rPr>
          <w:rFonts w:ascii="Calibri" w:hAnsi="Calibri" w:cs="Calibri"/>
          <w:color w:val="242424"/>
          <w:sz w:val="22"/>
          <w:szCs w:val="22"/>
        </w:rPr>
      </w:pPr>
    </w:p>
    <w:p w14:paraId="7085D021" w14:textId="77777777" w:rsidR="007C745C" w:rsidRDefault="007C745C" w:rsidP="007C745C">
      <w:pPr>
        <w:pStyle w:val="NormalWeb"/>
        <w:shd w:val="clear" w:color="auto" w:fill="FFFFFF"/>
        <w:spacing w:before="0" w:beforeAutospacing="0" w:after="0" w:afterAutospacing="0"/>
        <w:rPr>
          <w:rFonts w:ascii="Calibri" w:hAnsi="Calibri" w:cs="Calibri"/>
          <w:color w:val="242424"/>
          <w:sz w:val="22"/>
          <w:szCs w:val="22"/>
        </w:rPr>
      </w:pPr>
    </w:p>
    <w:p w14:paraId="588E67D1" w14:textId="77777777" w:rsidR="007C745C" w:rsidRDefault="007C745C" w:rsidP="007C745C">
      <w:pPr>
        <w:pStyle w:val="NormalWeb"/>
        <w:shd w:val="clear" w:color="auto" w:fill="FFFFFF"/>
        <w:spacing w:before="0" w:beforeAutospacing="0" w:after="0" w:afterAutospacing="0"/>
        <w:rPr>
          <w:rFonts w:ascii="Calibri" w:hAnsi="Calibri" w:cs="Calibri"/>
          <w:color w:val="242424"/>
          <w:sz w:val="22"/>
          <w:szCs w:val="22"/>
        </w:rPr>
      </w:pPr>
    </w:p>
    <w:p w14:paraId="6A319111" w14:textId="77777777" w:rsidR="007C745C" w:rsidRDefault="007C745C" w:rsidP="007C745C">
      <w:pPr>
        <w:pStyle w:val="NormalWeb"/>
        <w:shd w:val="clear" w:color="auto" w:fill="FFFFFF"/>
        <w:spacing w:before="0" w:beforeAutospacing="0" w:after="0" w:afterAutospacing="0"/>
        <w:rPr>
          <w:rFonts w:ascii="Calibri" w:hAnsi="Calibri" w:cs="Calibri"/>
          <w:color w:val="242424"/>
          <w:sz w:val="22"/>
          <w:szCs w:val="22"/>
        </w:rPr>
      </w:pPr>
    </w:p>
    <w:p w14:paraId="0A9738B5" w14:textId="77777777" w:rsidR="007C745C" w:rsidRDefault="007C745C" w:rsidP="007C745C">
      <w:pPr>
        <w:pStyle w:val="NormalWeb"/>
        <w:shd w:val="clear" w:color="auto" w:fill="FFFFFF"/>
        <w:spacing w:before="0" w:beforeAutospacing="0" w:after="0" w:afterAutospacing="0"/>
        <w:rPr>
          <w:rFonts w:ascii="Calibri" w:hAnsi="Calibri" w:cs="Calibri"/>
          <w:color w:val="242424"/>
          <w:sz w:val="22"/>
          <w:szCs w:val="22"/>
        </w:rPr>
      </w:pPr>
    </w:p>
    <w:p w14:paraId="66673112" w14:textId="77777777" w:rsidR="007C745C" w:rsidRDefault="007C745C" w:rsidP="007C745C">
      <w:pPr>
        <w:pStyle w:val="NormalWeb"/>
        <w:shd w:val="clear" w:color="auto" w:fill="FFFFFF"/>
        <w:spacing w:before="0" w:beforeAutospacing="0" w:after="0" w:afterAutospacing="0"/>
        <w:rPr>
          <w:rFonts w:ascii="Calibri" w:hAnsi="Calibri" w:cs="Calibri"/>
          <w:color w:val="242424"/>
          <w:sz w:val="22"/>
          <w:szCs w:val="22"/>
        </w:rPr>
      </w:pPr>
    </w:p>
    <w:p w14:paraId="1FD27E05" w14:textId="77777777" w:rsidR="007C745C" w:rsidRDefault="007C745C" w:rsidP="007C745C">
      <w:pPr>
        <w:pStyle w:val="NormalWeb"/>
        <w:shd w:val="clear" w:color="auto" w:fill="FFFFFF"/>
        <w:spacing w:before="0" w:beforeAutospacing="0" w:after="0" w:afterAutospacing="0"/>
        <w:rPr>
          <w:rFonts w:ascii="Calibri" w:hAnsi="Calibri" w:cs="Calibri"/>
          <w:color w:val="242424"/>
          <w:sz w:val="22"/>
          <w:szCs w:val="22"/>
        </w:rPr>
      </w:pPr>
    </w:p>
    <w:p w14:paraId="693950AB" w14:textId="77777777" w:rsidR="007C745C" w:rsidRDefault="007C745C" w:rsidP="007C745C">
      <w:pPr>
        <w:pStyle w:val="NormalWeb"/>
        <w:shd w:val="clear" w:color="auto" w:fill="FFFFFF"/>
        <w:spacing w:before="0" w:beforeAutospacing="0" w:after="0" w:afterAutospacing="0"/>
        <w:rPr>
          <w:rFonts w:ascii="Calibri" w:hAnsi="Calibri" w:cs="Calibri"/>
          <w:color w:val="242424"/>
          <w:sz w:val="22"/>
          <w:szCs w:val="22"/>
        </w:rPr>
      </w:pPr>
    </w:p>
    <w:p w14:paraId="56D89B91" w14:textId="77777777" w:rsidR="007C745C" w:rsidRDefault="007C745C" w:rsidP="007C745C">
      <w:pPr>
        <w:pStyle w:val="NormalWeb"/>
        <w:shd w:val="clear" w:color="auto" w:fill="FFFFFF"/>
        <w:spacing w:before="0" w:beforeAutospacing="0" w:after="0" w:afterAutospacing="0"/>
        <w:rPr>
          <w:rFonts w:ascii="Calibri" w:hAnsi="Calibri" w:cs="Calibri"/>
          <w:color w:val="242424"/>
          <w:sz w:val="22"/>
          <w:szCs w:val="22"/>
        </w:rPr>
      </w:pPr>
    </w:p>
    <w:p w14:paraId="4ED4F5A6" w14:textId="77777777" w:rsidR="007C745C" w:rsidRDefault="007C745C" w:rsidP="007C745C">
      <w:pPr>
        <w:pStyle w:val="NormalWeb"/>
        <w:shd w:val="clear" w:color="auto" w:fill="FFFFFF"/>
        <w:spacing w:before="0" w:beforeAutospacing="0" w:after="0" w:afterAutospacing="0"/>
        <w:rPr>
          <w:rFonts w:ascii="Calibri" w:hAnsi="Calibri" w:cs="Calibri"/>
          <w:color w:val="242424"/>
          <w:sz w:val="22"/>
          <w:szCs w:val="22"/>
        </w:rPr>
      </w:pPr>
    </w:p>
    <w:p w14:paraId="5AE0B154" w14:textId="77777777" w:rsidR="007C745C" w:rsidRDefault="007C745C" w:rsidP="007C745C">
      <w:pPr>
        <w:pStyle w:val="NormalWeb"/>
        <w:shd w:val="clear" w:color="auto" w:fill="FFFFFF"/>
        <w:spacing w:before="0" w:beforeAutospacing="0" w:after="0" w:afterAutospacing="0"/>
        <w:rPr>
          <w:rFonts w:ascii="Calibri" w:hAnsi="Calibri" w:cs="Calibri"/>
          <w:color w:val="242424"/>
          <w:sz w:val="22"/>
          <w:szCs w:val="22"/>
        </w:rPr>
      </w:pPr>
    </w:p>
    <w:p w14:paraId="78FFBD0D" w14:textId="77777777" w:rsidR="007C745C" w:rsidRDefault="007C745C" w:rsidP="007C745C">
      <w:pPr>
        <w:pStyle w:val="NormalWeb"/>
        <w:shd w:val="clear" w:color="auto" w:fill="FFFFFF"/>
        <w:spacing w:before="0" w:beforeAutospacing="0" w:after="0" w:afterAutospacing="0"/>
        <w:rPr>
          <w:rFonts w:ascii="Calibri" w:hAnsi="Calibri" w:cs="Calibri"/>
          <w:color w:val="242424"/>
          <w:sz w:val="22"/>
          <w:szCs w:val="22"/>
        </w:rPr>
      </w:pPr>
    </w:p>
    <w:p w14:paraId="06049E40" w14:textId="77777777" w:rsidR="007C745C" w:rsidRDefault="007C745C" w:rsidP="007C745C">
      <w:pPr>
        <w:pStyle w:val="NormalWeb"/>
        <w:shd w:val="clear" w:color="auto" w:fill="FFFFFF"/>
        <w:spacing w:before="0" w:beforeAutospacing="0" w:after="0" w:afterAutospacing="0"/>
        <w:rPr>
          <w:rFonts w:ascii="Calibri" w:hAnsi="Calibri" w:cs="Calibri"/>
          <w:color w:val="242424"/>
          <w:sz w:val="22"/>
          <w:szCs w:val="22"/>
        </w:rPr>
      </w:pPr>
    </w:p>
    <w:p w14:paraId="7A37C0E8" w14:textId="77777777" w:rsidR="007C745C" w:rsidRDefault="007C745C" w:rsidP="007C745C">
      <w:pPr>
        <w:pStyle w:val="NormalWeb"/>
        <w:shd w:val="clear" w:color="auto" w:fill="FFFFFF"/>
        <w:spacing w:before="0" w:beforeAutospacing="0" w:after="0" w:afterAutospacing="0"/>
        <w:rPr>
          <w:rFonts w:ascii="Calibri" w:hAnsi="Calibri" w:cs="Calibri"/>
          <w:color w:val="242424"/>
          <w:sz w:val="22"/>
          <w:szCs w:val="22"/>
        </w:rPr>
      </w:pPr>
    </w:p>
    <w:p w14:paraId="47F0854F" w14:textId="77777777" w:rsidR="007C745C" w:rsidRDefault="007C745C" w:rsidP="007C745C">
      <w:pPr>
        <w:pStyle w:val="NormalWeb"/>
        <w:shd w:val="clear" w:color="auto" w:fill="FFFFFF"/>
        <w:spacing w:before="0" w:beforeAutospacing="0" w:after="0" w:afterAutospacing="0"/>
        <w:rPr>
          <w:rFonts w:ascii="Calibri" w:hAnsi="Calibri" w:cs="Calibri"/>
          <w:color w:val="242424"/>
          <w:sz w:val="22"/>
          <w:szCs w:val="22"/>
        </w:rPr>
      </w:pPr>
    </w:p>
    <w:p w14:paraId="7136F971" w14:textId="77777777" w:rsidR="007C745C" w:rsidRDefault="007C745C" w:rsidP="007C745C">
      <w:pPr>
        <w:pStyle w:val="NormalWeb"/>
        <w:shd w:val="clear" w:color="auto" w:fill="FFFFFF"/>
        <w:spacing w:before="0" w:beforeAutospacing="0" w:after="0" w:afterAutospacing="0"/>
        <w:rPr>
          <w:rFonts w:ascii="Calibri" w:hAnsi="Calibri" w:cs="Calibri"/>
          <w:color w:val="242424"/>
          <w:sz w:val="22"/>
          <w:szCs w:val="22"/>
        </w:rPr>
      </w:pPr>
    </w:p>
    <w:p w14:paraId="650C6AC5" w14:textId="77777777" w:rsidR="007C745C" w:rsidRDefault="007C745C" w:rsidP="007C745C">
      <w:pPr>
        <w:pStyle w:val="NormalWeb"/>
        <w:shd w:val="clear" w:color="auto" w:fill="FFFFFF"/>
        <w:spacing w:before="0" w:beforeAutospacing="0" w:after="0" w:afterAutospacing="0"/>
        <w:rPr>
          <w:rFonts w:ascii="Calibri" w:hAnsi="Calibri" w:cs="Calibri"/>
          <w:color w:val="242424"/>
          <w:sz w:val="22"/>
          <w:szCs w:val="22"/>
        </w:rPr>
      </w:pPr>
    </w:p>
    <w:p w14:paraId="2868F82F" w14:textId="77777777" w:rsidR="007C745C" w:rsidRDefault="007C745C" w:rsidP="007C745C">
      <w:pPr>
        <w:pStyle w:val="NormalWeb"/>
        <w:shd w:val="clear" w:color="auto" w:fill="FFFFFF"/>
        <w:spacing w:before="0" w:beforeAutospacing="0" w:after="0" w:afterAutospacing="0"/>
        <w:rPr>
          <w:rFonts w:ascii="Calibri" w:hAnsi="Calibri" w:cs="Calibri"/>
          <w:color w:val="242424"/>
          <w:sz w:val="22"/>
          <w:szCs w:val="22"/>
        </w:rPr>
      </w:pPr>
    </w:p>
    <w:p w14:paraId="5E05FD23" w14:textId="77777777" w:rsidR="007C745C" w:rsidRDefault="007C745C" w:rsidP="007C745C">
      <w:pPr>
        <w:pStyle w:val="NormalWeb"/>
        <w:shd w:val="clear" w:color="auto" w:fill="FFFFFF"/>
        <w:spacing w:before="0" w:beforeAutospacing="0" w:after="0" w:afterAutospacing="0"/>
        <w:rPr>
          <w:rFonts w:ascii="Calibri" w:hAnsi="Calibri" w:cs="Calibri"/>
          <w:color w:val="242424"/>
          <w:sz w:val="22"/>
          <w:szCs w:val="22"/>
        </w:rPr>
      </w:pPr>
    </w:p>
    <w:p w14:paraId="26CD0E4B" w14:textId="77777777" w:rsidR="007C745C" w:rsidRPr="007C745C" w:rsidRDefault="007C745C" w:rsidP="007C745C">
      <w:pPr>
        <w:pStyle w:val="NormalWeb"/>
        <w:shd w:val="clear" w:color="auto" w:fill="FFFFFF"/>
        <w:spacing w:before="0" w:beforeAutospacing="0" w:after="0" w:afterAutospacing="0"/>
        <w:rPr>
          <w:rFonts w:ascii="Arial" w:hAnsi="Arial" w:cs="Arial"/>
          <w:b/>
          <w:color w:val="242424"/>
          <w:sz w:val="40"/>
          <w:szCs w:val="40"/>
        </w:rPr>
      </w:pPr>
      <w:r w:rsidRPr="007C745C">
        <w:rPr>
          <w:rFonts w:ascii="Arial" w:hAnsi="Arial" w:cs="Arial"/>
          <w:b/>
          <w:color w:val="242424"/>
          <w:sz w:val="40"/>
          <w:szCs w:val="40"/>
        </w:rPr>
        <w:lastRenderedPageBreak/>
        <w:t>Supreme Court:</w:t>
      </w:r>
    </w:p>
    <w:p w14:paraId="23AA2046" w14:textId="77777777" w:rsidR="007C745C" w:rsidRDefault="007C745C">
      <w:pPr>
        <w:rPr>
          <w:rFonts w:ascii="Arial" w:hAnsi="Arial" w:cs="Arial"/>
          <w:b/>
          <w:sz w:val="40"/>
          <w:szCs w:val="40"/>
        </w:rPr>
      </w:pPr>
    </w:p>
    <w:p w14:paraId="50A4ECC7" w14:textId="77777777" w:rsidR="006E4BAD" w:rsidRPr="006E4BAD" w:rsidRDefault="006E4BAD">
      <w:pPr>
        <w:rPr>
          <w:rFonts w:ascii="Arial" w:hAnsi="Arial" w:cs="Arial"/>
          <w:sz w:val="28"/>
          <w:szCs w:val="28"/>
        </w:rPr>
      </w:pPr>
      <w:r w:rsidRPr="006E4BAD">
        <w:rPr>
          <w:rFonts w:ascii="Arial" w:hAnsi="Arial" w:cs="Arial"/>
          <w:sz w:val="28"/>
          <w:szCs w:val="28"/>
        </w:rPr>
        <w:t>Session begins January 8, 2024</w:t>
      </w:r>
    </w:p>
    <w:p w14:paraId="621C75D8" w14:textId="77777777" w:rsidR="007C745C" w:rsidRPr="007C745C" w:rsidRDefault="007C745C" w:rsidP="007C745C">
      <w:pPr>
        <w:shd w:val="clear" w:color="auto" w:fill="FFFFFF"/>
        <w:spacing w:before="100" w:beforeAutospacing="1" w:after="100" w:afterAutospacing="1" w:line="240" w:lineRule="auto"/>
        <w:outlineLvl w:val="1"/>
        <w:rPr>
          <w:rFonts w:ascii="Arial" w:eastAsia="Times New Roman" w:hAnsi="Arial" w:cs="Arial"/>
          <w:bCs/>
          <w:sz w:val="28"/>
          <w:szCs w:val="28"/>
        </w:rPr>
      </w:pPr>
      <w:r w:rsidRPr="006E4BAD">
        <w:rPr>
          <w:rFonts w:ascii="Arial" w:eastAsia="Times New Roman" w:hAnsi="Arial" w:cs="Arial"/>
          <w:bCs/>
          <w:i/>
          <w:iCs/>
          <w:sz w:val="28"/>
          <w:szCs w:val="28"/>
        </w:rPr>
        <w:t>Loper Bright Enterprises v. Raimondo</w:t>
      </w:r>
    </w:p>
    <w:p w14:paraId="78E1BA5B" w14:textId="77777777" w:rsidR="007C745C" w:rsidRDefault="007C745C" w:rsidP="007C745C">
      <w:pPr>
        <w:shd w:val="clear" w:color="auto" w:fill="FFFFFF"/>
        <w:spacing w:before="100" w:beforeAutospacing="1" w:after="100" w:afterAutospacing="1" w:line="240" w:lineRule="auto"/>
        <w:outlineLvl w:val="3"/>
        <w:rPr>
          <w:rFonts w:ascii="Arial" w:eastAsia="Times New Roman" w:hAnsi="Arial" w:cs="Arial"/>
          <w:bCs/>
          <w:sz w:val="28"/>
          <w:szCs w:val="28"/>
        </w:rPr>
      </w:pPr>
      <w:r w:rsidRPr="006E4BAD">
        <w:rPr>
          <w:rFonts w:ascii="Arial" w:eastAsia="Times New Roman" w:hAnsi="Arial" w:cs="Arial"/>
          <w:bCs/>
          <w:sz w:val="28"/>
          <w:szCs w:val="28"/>
        </w:rPr>
        <w:t>(Administrative Law, Environment &amp; Climate)</w:t>
      </w:r>
    </w:p>
    <w:p w14:paraId="06B71B90" w14:textId="77777777" w:rsidR="006E4BAD" w:rsidRPr="007C745C" w:rsidRDefault="006E4BAD" w:rsidP="007C745C">
      <w:pPr>
        <w:shd w:val="clear" w:color="auto" w:fill="FFFFFF"/>
        <w:spacing w:before="100" w:beforeAutospacing="1" w:after="100" w:afterAutospacing="1" w:line="240" w:lineRule="auto"/>
        <w:outlineLvl w:val="3"/>
        <w:rPr>
          <w:rFonts w:ascii="Arial" w:eastAsia="Times New Roman" w:hAnsi="Arial" w:cs="Arial"/>
          <w:bCs/>
          <w:sz w:val="28"/>
          <w:szCs w:val="28"/>
        </w:rPr>
      </w:pPr>
      <w:r w:rsidRPr="006E4BAD">
        <w:rPr>
          <w:rStyle w:val="Strong"/>
          <w:rFonts w:ascii="Arial" w:hAnsi="Arial" w:cs="Arial"/>
          <w:sz w:val="28"/>
          <w:szCs w:val="28"/>
          <w:bdr w:val="none" w:sz="0" w:space="0" w:color="auto" w:frame="1"/>
          <w:shd w:val="clear" w:color="auto" w:fill="FFFFFF"/>
        </w:rPr>
        <w:t>Issue</w:t>
      </w:r>
      <w:r w:rsidRPr="006E4BAD">
        <w:rPr>
          <w:rFonts w:ascii="Arial" w:hAnsi="Arial" w:cs="Arial"/>
          <w:sz w:val="28"/>
          <w:szCs w:val="28"/>
          <w:shd w:val="clear" w:color="auto" w:fill="FFFFFF"/>
        </w:rPr>
        <w:t>: Whether the court should overrule </w:t>
      </w:r>
      <w:hyperlink r:id="rId13" w:history="1">
        <w:r w:rsidRPr="006E4BAD">
          <w:rPr>
            <w:rStyle w:val="Emphasis"/>
            <w:rFonts w:ascii="Arial" w:hAnsi="Arial" w:cs="Arial"/>
            <w:bCs/>
            <w:sz w:val="28"/>
            <w:szCs w:val="28"/>
            <w:bdr w:val="none" w:sz="0" w:space="0" w:color="auto" w:frame="1"/>
            <w:shd w:val="clear" w:color="auto" w:fill="FFFFFF"/>
          </w:rPr>
          <w:t>Chevron v. Natural Resources Defense Council</w:t>
        </w:r>
      </w:hyperlink>
      <w:r w:rsidRPr="006E4BAD">
        <w:rPr>
          <w:rFonts w:ascii="Arial" w:hAnsi="Arial" w:cs="Arial"/>
          <w:sz w:val="28"/>
          <w:szCs w:val="28"/>
          <w:shd w:val="clear" w:color="auto" w:fill="FFFFFF"/>
        </w:rPr>
        <w:t>, or at least clarify that statutory silence concerning controversial powers expressly but narrowly granted elsewhere in the statute does not constitute an ambiguity requiring deference to the agency.</w:t>
      </w:r>
    </w:p>
    <w:p w14:paraId="39A9295F" w14:textId="77777777" w:rsidR="007C745C" w:rsidRPr="007C745C" w:rsidRDefault="007C745C" w:rsidP="007C745C">
      <w:pPr>
        <w:shd w:val="clear" w:color="auto" w:fill="FFFFFF"/>
        <w:spacing w:before="100" w:beforeAutospacing="1" w:after="100" w:afterAutospacing="1" w:line="240" w:lineRule="auto"/>
        <w:rPr>
          <w:rFonts w:ascii="Arial" w:eastAsia="Times New Roman" w:hAnsi="Arial" w:cs="Arial"/>
          <w:sz w:val="28"/>
          <w:szCs w:val="28"/>
        </w:rPr>
      </w:pPr>
      <w:r w:rsidRPr="006E4BAD">
        <w:rPr>
          <w:rFonts w:ascii="Arial" w:eastAsia="Times New Roman" w:hAnsi="Arial" w:cs="Arial"/>
          <w:bCs/>
          <w:i/>
          <w:iCs/>
          <w:sz w:val="28"/>
          <w:szCs w:val="28"/>
        </w:rPr>
        <w:t xml:space="preserve">Oral argument date </w:t>
      </w:r>
      <w:r w:rsidR="006E4BAD">
        <w:rPr>
          <w:rFonts w:ascii="Arial" w:eastAsia="Times New Roman" w:hAnsi="Arial" w:cs="Arial"/>
          <w:bCs/>
          <w:i/>
          <w:iCs/>
          <w:sz w:val="28"/>
          <w:szCs w:val="28"/>
        </w:rPr>
        <w:t>January 17, 2024</w:t>
      </w:r>
    </w:p>
    <w:p w14:paraId="29A4F4FC" w14:textId="77777777" w:rsidR="007C745C" w:rsidRPr="007C745C" w:rsidRDefault="007C745C" w:rsidP="007C745C">
      <w:pPr>
        <w:shd w:val="clear" w:color="auto" w:fill="FFFFFF"/>
        <w:spacing w:before="100" w:beforeAutospacing="1" w:after="100" w:afterAutospacing="1" w:line="240" w:lineRule="auto"/>
        <w:rPr>
          <w:rFonts w:ascii="Arial" w:eastAsia="Times New Roman" w:hAnsi="Arial" w:cs="Arial"/>
          <w:sz w:val="28"/>
          <w:szCs w:val="28"/>
        </w:rPr>
      </w:pPr>
      <w:r w:rsidRPr="007C745C">
        <w:rPr>
          <w:rFonts w:ascii="Arial" w:eastAsia="Times New Roman" w:hAnsi="Arial" w:cs="Arial"/>
          <w:sz w:val="28"/>
          <w:szCs w:val="28"/>
        </w:rPr>
        <w:t>In </w:t>
      </w:r>
      <w:hyperlink r:id="rId14" w:tgtFrame="_blank" w:history="1">
        <w:r w:rsidRPr="006E4BAD">
          <w:rPr>
            <w:rFonts w:ascii="Arial" w:eastAsia="Times New Roman" w:hAnsi="Arial" w:cs="Arial"/>
            <w:i/>
            <w:iCs/>
            <w:sz w:val="28"/>
            <w:szCs w:val="28"/>
            <w:u w:val="single"/>
          </w:rPr>
          <w:t>Loper Bright</w:t>
        </w:r>
      </w:hyperlink>
      <w:r w:rsidRPr="007C745C">
        <w:rPr>
          <w:rFonts w:ascii="Arial" w:eastAsia="Times New Roman" w:hAnsi="Arial" w:cs="Arial"/>
          <w:sz w:val="28"/>
          <w:szCs w:val="28"/>
        </w:rPr>
        <w:t>, the Court could upend decades of administrative law, jeopardizing protections for our health and safety. National Marine Fisheries Service (NMFS) issued a rule that required fishing companies to pay for third party observers on certain boats. The fishing companies sued the agency, arguing that NMFS did not have the power to implement this rule. Though the dispute at the center of this case may seem to be about fisheries, the actual dispute is over the </w:t>
      </w:r>
      <w:hyperlink r:id="rId15" w:tgtFrame="_blank" w:history="1">
        <w:r w:rsidRPr="006E4BAD">
          <w:rPr>
            <w:rFonts w:ascii="Arial" w:eastAsia="Times New Roman" w:hAnsi="Arial" w:cs="Arial"/>
            <w:i/>
            <w:iCs/>
            <w:sz w:val="28"/>
            <w:szCs w:val="28"/>
            <w:u w:val="single"/>
          </w:rPr>
          <w:t>Chevron</w:t>
        </w:r>
        <w:r w:rsidRPr="006E4BAD">
          <w:rPr>
            <w:rFonts w:ascii="Arial" w:eastAsia="Times New Roman" w:hAnsi="Arial" w:cs="Arial"/>
            <w:sz w:val="28"/>
            <w:szCs w:val="28"/>
            <w:u w:val="single"/>
          </w:rPr>
          <w:t> Doctrine</w:t>
        </w:r>
      </w:hyperlink>
      <w:r w:rsidRPr="007C745C">
        <w:rPr>
          <w:rFonts w:ascii="Arial" w:eastAsia="Times New Roman" w:hAnsi="Arial" w:cs="Arial"/>
          <w:sz w:val="28"/>
          <w:szCs w:val="28"/>
        </w:rPr>
        <w:t>.</w:t>
      </w:r>
    </w:p>
    <w:p w14:paraId="3857285C" w14:textId="77777777" w:rsidR="007C745C" w:rsidRPr="007C745C" w:rsidRDefault="007C745C" w:rsidP="007C745C">
      <w:pPr>
        <w:shd w:val="clear" w:color="auto" w:fill="FFFFFF"/>
        <w:spacing w:before="100" w:beforeAutospacing="1" w:after="100" w:afterAutospacing="1" w:line="240" w:lineRule="auto"/>
        <w:rPr>
          <w:rFonts w:ascii="Arial" w:eastAsia="Times New Roman" w:hAnsi="Arial" w:cs="Arial"/>
          <w:sz w:val="28"/>
          <w:szCs w:val="28"/>
        </w:rPr>
      </w:pPr>
      <w:r w:rsidRPr="007C745C">
        <w:rPr>
          <w:rFonts w:ascii="Arial" w:eastAsia="Times New Roman" w:hAnsi="Arial" w:cs="Arial"/>
          <w:sz w:val="28"/>
          <w:szCs w:val="28"/>
        </w:rPr>
        <w:t>The </w:t>
      </w:r>
      <w:r w:rsidRPr="006E4BAD">
        <w:rPr>
          <w:rFonts w:ascii="Arial" w:eastAsia="Times New Roman" w:hAnsi="Arial" w:cs="Arial"/>
          <w:i/>
          <w:iCs/>
          <w:sz w:val="28"/>
          <w:szCs w:val="28"/>
        </w:rPr>
        <w:t>Chevron</w:t>
      </w:r>
      <w:r w:rsidRPr="007C745C">
        <w:rPr>
          <w:rFonts w:ascii="Arial" w:eastAsia="Times New Roman" w:hAnsi="Arial" w:cs="Arial"/>
          <w:sz w:val="28"/>
          <w:szCs w:val="28"/>
        </w:rPr>
        <w:t> Doctrine is at the core of administrative law and requires courts to defer to agency expertise. To better explain how </w:t>
      </w:r>
      <w:r w:rsidRPr="006E4BAD">
        <w:rPr>
          <w:rFonts w:ascii="Arial" w:eastAsia="Times New Roman" w:hAnsi="Arial" w:cs="Arial"/>
          <w:i/>
          <w:iCs/>
          <w:sz w:val="28"/>
          <w:szCs w:val="28"/>
        </w:rPr>
        <w:t>Chevron</w:t>
      </w:r>
      <w:r w:rsidRPr="007C745C">
        <w:rPr>
          <w:rFonts w:ascii="Arial" w:eastAsia="Times New Roman" w:hAnsi="Arial" w:cs="Arial"/>
          <w:sz w:val="28"/>
          <w:szCs w:val="28"/>
        </w:rPr>
        <w:t> works, let’s take a brief look at the FDA: The FDA is tasked with determining whether a new medication is safe and effective. The agency is staffed with thousands of experts – from public health specialists to research scientists to physicians – all of whom work together to make this complex decision. Under </w:t>
      </w:r>
      <w:r w:rsidRPr="006E4BAD">
        <w:rPr>
          <w:rFonts w:ascii="Arial" w:eastAsia="Times New Roman" w:hAnsi="Arial" w:cs="Arial"/>
          <w:i/>
          <w:iCs/>
          <w:sz w:val="28"/>
          <w:szCs w:val="28"/>
        </w:rPr>
        <w:t>Chevron</w:t>
      </w:r>
      <w:r w:rsidRPr="007C745C">
        <w:rPr>
          <w:rFonts w:ascii="Arial" w:eastAsia="Times New Roman" w:hAnsi="Arial" w:cs="Arial"/>
          <w:sz w:val="28"/>
          <w:szCs w:val="28"/>
        </w:rPr>
        <w:t>, these experts get to decide what constitutes “safe” and “effective” when it comes to approving new drugs. If the Court overturns </w:t>
      </w:r>
      <w:r w:rsidRPr="006E4BAD">
        <w:rPr>
          <w:rFonts w:ascii="Arial" w:eastAsia="Times New Roman" w:hAnsi="Arial" w:cs="Arial"/>
          <w:i/>
          <w:iCs/>
          <w:sz w:val="28"/>
          <w:szCs w:val="28"/>
        </w:rPr>
        <w:t>Chevron</w:t>
      </w:r>
      <w:r w:rsidRPr="007C745C">
        <w:rPr>
          <w:rFonts w:ascii="Arial" w:eastAsia="Times New Roman" w:hAnsi="Arial" w:cs="Arial"/>
          <w:sz w:val="28"/>
          <w:szCs w:val="28"/>
        </w:rPr>
        <w:t>, individual judges could have the power to ignore experts in these agencies, transforming the way complex policy decisions are made in the U.S. </w:t>
      </w:r>
    </w:p>
    <w:p w14:paraId="02B42FD6" w14:textId="77777777" w:rsidR="007C745C" w:rsidRPr="007C745C" w:rsidRDefault="007C745C">
      <w:pPr>
        <w:rPr>
          <w:rFonts w:ascii="Arial" w:hAnsi="Arial" w:cs="Arial"/>
          <w:b/>
          <w:sz w:val="40"/>
          <w:szCs w:val="40"/>
        </w:rPr>
      </w:pPr>
    </w:p>
    <w:sectPr w:rsidR="007C745C" w:rsidRPr="007C7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72BF3"/>
    <w:multiLevelType w:val="hybridMultilevel"/>
    <w:tmpl w:val="CEECC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052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A13"/>
    <w:rsid w:val="00050BB9"/>
    <w:rsid w:val="002621BD"/>
    <w:rsid w:val="004A1F2B"/>
    <w:rsid w:val="00667A13"/>
    <w:rsid w:val="006E4BAD"/>
    <w:rsid w:val="007C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EB75"/>
  <w15:chartTrackingRefBased/>
  <w15:docId w15:val="{DD381001-8AEC-4AF1-AAD8-B9E9BD9F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C74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C745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7A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7A13"/>
    <w:rPr>
      <w:b/>
      <w:bCs/>
    </w:rPr>
  </w:style>
  <w:style w:type="character" w:styleId="Hyperlink">
    <w:name w:val="Hyperlink"/>
    <w:basedOn w:val="DefaultParagraphFont"/>
    <w:uiPriority w:val="99"/>
    <w:semiHidden/>
    <w:unhideWhenUsed/>
    <w:rsid w:val="00667A13"/>
    <w:rPr>
      <w:color w:val="0000FF"/>
      <w:u w:val="single"/>
    </w:rPr>
  </w:style>
  <w:style w:type="paragraph" w:customStyle="1" w:styleId="sc-bczrlj">
    <w:name w:val="sc-bczrlj"/>
    <w:basedOn w:val="Normal"/>
    <w:rsid w:val="00667A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C745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C745C"/>
    <w:rPr>
      <w:rFonts w:ascii="Times New Roman" w:eastAsia="Times New Roman" w:hAnsi="Times New Roman" w:cs="Times New Roman"/>
      <w:b/>
      <w:bCs/>
      <w:sz w:val="24"/>
      <w:szCs w:val="24"/>
    </w:rPr>
  </w:style>
  <w:style w:type="character" w:styleId="Emphasis">
    <w:name w:val="Emphasis"/>
    <w:basedOn w:val="DefaultParagraphFont"/>
    <w:uiPriority w:val="20"/>
    <w:qFormat/>
    <w:rsid w:val="007C745C"/>
    <w:rPr>
      <w:i/>
      <w:iCs/>
    </w:rPr>
  </w:style>
  <w:style w:type="paragraph" w:styleId="BalloonText">
    <w:name w:val="Balloon Text"/>
    <w:basedOn w:val="Normal"/>
    <w:link w:val="BalloonTextChar"/>
    <w:uiPriority w:val="99"/>
    <w:semiHidden/>
    <w:unhideWhenUsed/>
    <w:rsid w:val="007C7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4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265892">
      <w:bodyDiv w:val="1"/>
      <w:marLeft w:val="0"/>
      <w:marRight w:val="0"/>
      <w:marTop w:val="0"/>
      <w:marBottom w:val="0"/>
      <w:divBdr>
        <w:top w:val="none" w:sz="0" w:space="0" w:color="auto"/>
        <w:left w:val="none" w:sz="0" w:space="0" w:color="auto"/>
        <w:bottom w:val="none" w:sz="0" w:space="0" w:color="auto"/>
        <w:right w:val="none" w:sz="0" w:space="0" w:color="auto"/>
      </w:divBdr>
    </w:div>
    <w:div w:id="1037119040">
      <w:bodyDiv w:val="1"/>
      <w:marLeft w:val="0"/>
      <w:marRight w:val="0"/>
      <w:marTop w:val="0"/>
      <w:marBottom w:val="0"/>
      <w:divBdr>
        <w:top w:val="none" w:sz="0" w:space="0" w:color="auto"/>
        <w:left w:val="none" w:sz="0" w:space="0" w:color="auto"/>
        <w:bottom w:val="none" w:sz="0" w:space="0" w:color="auto"/>
        <w:right w:val="none" w:sz="0" w:space="0" w:color="auto"/>
      </w:divBdr>
    </w:div>
    <w:div w:id="1995522864">
      <w:bodyDiv w:val="1"/>
      <w:marLeft w:val="0"/>
      <w:marRight w:val="0"/>
      <w:marTop w:val="0"/>
      <w:marBottom w:val="0"/>
      <w:divBdr>
        <w:top w:val="none" w:sz="0" w:space="0" w:color="auto"/>
        <w:left w:val="none" w:sz="0" w:space="0" w:color="auto"/>
        <w:bottom w:val="none" w:sz="0" w:space="0" w:color="auto"/>
        <w:right w:val="none" w:sz="0" w:space="0" w:color="auto"/>
      </w:divBdr>
      <w:divsChild>
        <w:div w:id="1862939297">
          <w:marLeft w:val="0"/>
          <w:marRight w:val="0"/>
          <w:marTop w:val="225"/>
          <w:marBottom w:val="225"/>
          <w:divBdr>
            <w:top w:val="none" w:sz="0" w:space="0" w:color="auto"/>
            <w:left w:val="none" w:sz="0" w:space="0" w:color="auto"/>
            <w:bottom w:val="none" w:sz="0" w:space="0" w:color="auto"/>
            <w:right w:val="none" w:sz="0" w:space="0" w:color="auto"/>
          </w:divBdr>
        </w:div>
        <w:div w:id="1549106159">
          <w:marLeft w:val="0"/>
          <w:marRight w:val="0"/>
          <w:marTop w:val="225"/>
          <w:marBottom w:val="225"/>
          <w:divBdr>
            <w:top w:val="none" w:sz="0" w:space="0" w:color="auto"/>
            <w:left w:val="none" w:sz="0" w:space="0" w:color="auto"/>
            <w:bottom w:val="none" w:sz="0" w:space="0" w:color="auto"/>
            <w:right w:val="none" w:sz="0" w:space="0" w:color="auto"/>
          </w:divBdr>
        </w:div>
        <w:div w:id="459997456">
          <w:marLeft w:val="0"/>
          <w:marRight w:val="0"/>
          <w:marTop w:val="225"/>
          <w:marBottom w:val="225"/>
          <w:divBdr>
            <w:top w:val="none" w:sz="0" w:space="0" w:color="auto"/>
            <w:left w:val="none" w:sz="0" w:space="0" w:color="auto"/>
            <w:bottom w:val="none" w:sz="0" w:space="0" w:color="auto"/>
            <w:right w:val="none" w:sz="0" w:space="0" w:color="auto"/>
          </w:divBdr>
        </w:div>
        <w:div w:id="1293904322">
          <w:marLeft w:val="0"/>
          <w:marRight w:val="0"/>
          <w:marTop w:val="225"/>
          <w:marBottom w:val="225"/>
          <w:divBdr>
            <w:top w:val="none" w:sz="0" w:space="0" w:color="auto"/>
            <w:left w:val="none" w:sz="0" w:space="0" w:color="auto"/>
            <w:bottom w:val="none" w:sz="0" w:space="0" w:color="auto"/>
            <w:right w:val="none" w:sz="0" w:space="0" w:color="auto"/>
          </w:divBdr>
        </w:div>
        <w:div w:id="1818377802">
          <w:marLeft w:val="0"/>
          <w:marRight w:val="0"/>
          <w:marTop w:val="225"/>
          <w:marBottom w:val="225"/>
          <w:divBdr>
            <w:top w:val="none" w:sz="0" w:space="0" w:color="auto"/>
            <w:left w:val="none" w:sz="0" w:space="0" w:color="auto"/>
            <w:bottom w:val="none" w:sz="0" w:space="0" w:color="auto"/>
            <w:right w:val="none" w:sz="0" w:space="0" w:color="auto"/>
          </w:divBdr>
        </w:div>
        <w:div w:id="936255669">
          <w:marLeft w:val="0"/>
          <w:marRight w:val="0"/>
          <w:marTop w:val="225"/>
          <w:marBottom w:val="225"/>
          <w:divBdr>
            <w:top w:val="none" w:sz="0" w:space="0" w:color="auto"/>
            <w:left w:val="none" w:sz="0" w:space="0" w:color="auto"/>
            <w:bottom w:val="none" w:sz="0" w:space="0" w:color="auto"/>
            <w:right w:val="none" w:sz="0" w:space="0" w:color="auto"/>
          </w:divBdr>
        </w:div>
        <w:div w:id="1265529191">
          <w:marLeft w:val="0"/>
          <w:marRight w:val="0"/>
          <w:marTop w:val="225"/>
          <w:marBottom w:val="225"/>
          <w:divBdr>
            <w:top w:val="none" w:sz="0" w:space="0" w:color="auto"/>
            <w:left w:val="none" w:sz="0" w:space="0" w:color="auto"/>
            <w:bottom w:val="none" w:sz="0" w:space="0" w:color="auto"/>
            <w:right w:val="none" w:sz="0" w:space="0" w:color="auto"/>
          </w:divBdr>
        </w:div>
        <w:div w:id="810756318">
          <w:marLeft w:val="0"/>
          <w:marRight w:val="0"/>
          <w:marTop w:val="225"/>
          <w:marBottom w:val="225"/>
          <w:divBdr>
            <w:top w:val="none" w:sz="0" w:space="0" w:color="auto"/>
            <w:left w:val="none" w:sz="0" w:space="0" w:color="auto"/>
            <w:bottom w:val="none" w:sz="0" w:space="0" w:color="auto"/>
            <w:right w:val="none" w:sz="0" w:space="0" w:color="auto"/>
          </w:divBdr>
        </w:div>
        <w:div w:id="1450472668">
          <w:marLeft w:val="0"/>
          <w:marRight w:val="0"/>
          <w:marTop w:val="225"/>
          <w:marBottom w:val="225"/>
          <w:divBdr>
            <w:top w:val="none" w:sz="0" w:space="0" w:color="auto"/>
            <w:left w:val="none" w:sz="0" w:space="0" w:color="auto"/>
            <w:bottom w:val="none" w:sz="0" w:space="0" w:color="auto"/>
            <w:right w:val="none" w:sz="0" w:space="0" w:color="auto"/>
          </w:divBdr>
        </w:div>
        <w:div w:id="1509558817">
          <w:marLeft w:val="0"/>
          <w:marRight w:val="0"/>
          <w:marTop w:val="225"/>
          <w:marBottom w:val="225"/>
          <w:divBdr>
            <w:top w:val="none" w:sz="0" w:space="0" w:color="auto"/>
            <w:left w:val="none" w:sz="0" w:space="0" w:color="auto"/>
            <w:bottom w:val="none" w:sz="0" w:space="0" w:color="auto"/>
            <w:right w:val="none" w:sz="0" w:space="0" w:color="auto"/>
          </w:divBdr>
        </w:div>
        <w:div w:id="633174392">
          <w:marLeft w:val="0"/>
          <w:marRight w:val="0"/>
          <w:marTop w:val="225"/>
          <w:marBottom w:val="225"/>
          <w:divBdr>
            <w:top w:val="none" w:sz="0" w:space="0" w:color="auto"/>
            <w:left w:val="none" w:sz="0" w:space="0" w:color="auto"/>
            <w:bottom w:val="none" w:sz="0" w:space="0" w:color="auto"/>
            <w:right w:val="none" w:sz="0" w:space="0" w:color="auto"/>
          </w:divBdr>
        </w:div>
        <w:div w:id="278297474">
          <w:marLeft w:val="0"/>
          <w:marRight w:val="0"/>
          <w:marTop w:val="225"/>
          <w:marBottom w:val="225"/>
          <w:divBdr>
            <w:top w:val="none" w:sz="0" w:space="0" w:color="auto"/>
            <w:left w:val="none" w:sz="0" w:space="0" w:color="auto"/>
            <w:bottom w:val="none" w:sz="0" w:space="0" w:color="auto"/>
            <w:right w:val="none" w:sz="0" w:space="0" w:color="auto"/>
          </w:divBdr>
        </w:div>
        <w:div w:id="1236626331">
          <w:marLeft w:val="0"/>
          <w:marRight w:val="0"/>
          <w:marTop w:val="225"/>
          <w:marBottom w:val="225"/>
          <w:divBdr>
            <w:top w:val="none" w:sz="0" w:space="0" w:color="auto"/>
            <w:left w:val="none" w:sz="0" w:space="0" w:color="auto"/>
            <w:bottom w:val="none" w:sz="0" w:space="0" w:color="auto"/>
            <w:right w:val="none" w:sz="0" w:space="0" w:color="auto"/>
          </w:divBdr>
        </w:div>
        <w:div w:id="871453837">
          <w:marLeft w:val="0"/>
          <w:marRight w:val="0"/>
          <w:marTop w:val="225"/>
          <w:marBottom w:val="225"/>
          <w:divBdr>
            <w:top w:val="none" w:sz="0" w:space="0" w:color="auto"/>
            <w:left w:val="none" w:sz="0" w:space="0" w:color="auto"/>
            <w:bottom w:val="none" w:sz="0" w:space="0" w:color="auto"/>
            <w:right w:val="none" w:sz="0" w:space="0" w:color="auto"/>
          </w:divBdr>
        </w:div>
        <w:div w:id="1385523746">
          <w:marLeft w:val="0"/>
          <w:marRight w:val="0"/>
          <w:marTop w:val="225"/>
          <w:marBottom w:val="225"/>
          <w:divBdr>
            <w:top w:val="none" w:sz="0" w:space="0" w:color="auto"/>
            <w:left w:val="none" w:sz="0" w:space="0" w:color="auto"/>
            <w:bottom w:val="none" w:sz="0" w:space="0" w:color="auto"/>
            <w:right w:val="none" w:sz="0" w:space="0" w:color="auto"/>
          </w:divBdr>
        </w:div>
        <w:div w:id="1086028560">
          <w:marLeft w:val="0"/>
          <w:marRight w:val="0"/>
          <w:marTop w:val="225"/>
          <w:marBottom w:val="225"/>
          <w:divBdr>
            <w:top w:val="none" w:sz="0" w:space="0" w:color="auto"/>
            <w:left w:val="none" w:sz="0" w:space="0" w:color="auto"/>
            <w:bottom w:val="none" w:sz="0" w:space="0" w:color="auto"/>
            <w:right w:val="none" w:sz="0" w:space="0" w:color="auto"/>
          </w:divBdr>
        </w:div>
        <w:div w:id="1078551477">
          <w:marLeft w:val="0"/>
          <w:marRight w:val="0"/>
          <w:marTop w:val="225"/>
          <w:marBottom w:val="225"/>
          <w:divBdr>
            <w:top w:val="none" w:sz="0" w:space="0" w:color="auto"/>
            <w:left w:val="none" w:sz="0" w:space="0" w:color="auto"/>
            <w:bottom w:val="none" w:sz="0" w:space="0" w:color="auto"/>
            <w:right w:val="none" w:sz="0" w:space="0" w:color="auto"/>
          </w:divBdr>
        </w:div>
        <w:div w:id="1201237699">
          <w:marLeft w:val="0"/>
          <w:marRight w:val="0"/>
          <w:marTop w:val="225"/>
          <w:marBottom w:val="225"/>
          <w:divBdr>
            <w:top w:val="none" w:sz="0" w:space="0" w:color="auto"/>
            <w:left w:val="none" w:sz="0" w:space="0" w:color="auto"/>
            <w:bottom w:val="none" w:sz="0" w:space="0" w:color="auto"/>
            <w:right w:val="none" w:sz="0" w:space="0" w:color="auto"/>
          </w:divBdr>
        </w:div>
        <w:div w:id="1683314559">
          <w:marLeft w:val="0"/>
          <w:marRight w:val="0"/>
          <w:marTop w:val="225"/>
          <w:marBottom w:val="225"/>
          <w:divBdr>
            <w:top w:val="none" w:sz="0" w:space="0" w:color="auto"/>
            <w:left w:val="none" w:sz="0" w:space="0" w:color="auto"/>
            <w:bottom w:val="none" w:sz="0" w:space="0" w:color="auto"/>
            <w:right w:val="none" w:sz="0" w:space="0" w:color="auto"/>
          </w:divBdr>
        </w:div>
        <w:div w:id="892421816">
          <w:marLeft w:val="0"/>
          <w:marRight w:val="0"/>
          <w:marTop w:val="225"/>
          <w:marBottom w:val="225"/>
          <w:divBdr>
            <w:top w:val="none" w:sz="0" w:space="0" w:color="auto"/>
            <w:left w:val="none" w:sz="0" w:space="0" w:color="auto"/>
            <w:bottom w:val="none" w:sz="0" w:space="0" w:color="auto"/>
            <w:right w:val="none" w:sz="0" w:space="0" w:color="auto"/>
          </w:divBdr>
        </w:div>
        <w:div w:id="375469959">
          <w:marLeft w:val="0"/>
          <w:marRight w:val="0"/>
          <w:marTop w:val="225"/>
          <w:marBottom w:val="225"/>
          <w:divBdr>
            <w:top w:val="none" w:sz="0" w:space="0" w:color="auto"/>
            <w:left w:val="none" w:sz="0" w:space="0" w:color="auto"/>
            <w:bottom w:val="none" w:sz="0" w:space="0" w:color="auto"/>
            <w:right w:val="none" w:sz="0" w:space="0" w:color="auto"/>
          </w:divBdr>
        </w:div>
        <w:div w:id="1127356067">
          <w:marLeft w:val="0"/>
          <w:marRight w:val="0"/>
          <w:marTop w:val="225"/>
          <w:marBottom w:val="225"/>
          <w:divBdr>
            <w:top w:val="none" w:sz="0" w:space="0" w:color="auto"/>
            <w:left w:val="none" w:sz="0" w:space="0" w:color="auto"/>
            <w:bottom w:val="none" w:sz="0" w:space="0" w:color="auto"/>
            <w:right w:val="none" w:sz="0" w:space="0" w:color="auto"/>
          </w:divBdr>
        </w:div>
      </w:divsChild>
    </w:div>
    <w:div w:id="2066827389">
      <w:bodyDiv w:val="1"/>
      <w:marLeft w:val="0"/>
      <w:marRight w:val="0"/>
      <w:marTop w:val="0"/>
      <w:marBottom w:val="0"/>
      <w:divBdr>
        <w:top w:val="none" w:sz="0" w:space="0" w:color="auto"/>
        <w:left w:val="none" w:sz="0" w:space="0" w:color="auto"/>
        <w:bottom w:val="none" w:sz="0" w:space="0" w:color="auto"/>
        <w:right w:val="none" w:sz="0" w:space="0" w:color="auto"/>
      </w:divBdr>
      <w:divsChild>
        <w:div w:id="725565884">
          <w:marLeft w:val="0"/>
          <w:marRight w:val="0"/>
          <w:marTop w:val="225"/>
          <w:marBottom w:val="225"/>
          <w:divBdr>
            <w:top w:val="none" w:sz="0" w:space="0" w:color="auto"/>
            <w:left w:val="none" w:sz="0" w:space="0" w:color="auto"/>
            <w:bottom w:val="none" w:sz="0" w:space="0" w:color="auto"/>
            <w:right w:val="none" w:sz="0" w:space="0" w:color="auto"/>
          </w:divBdr>
        </w:div>
        <w:div w:id="1413546054">
          <w:marLeft w:val="0"/>
          <w:marRight w:val="0"/>
          <w:marTop w:val="225"/>
          <w:marBottom w:val="225"/>
          <w:divBdr>
            <w:top w:val="none" w:sz="0" w:space="0" w:color="auto"/>
            <w:left w:val="none" w:sz="0" w:space="0" w:color="auto"/>
            <w:bottom w:val="none" w:sz="0" w:space="0" w:color="auto"/>
            <w:right w:val="none" w:sz="0" w:space="0" w:color="auto"/>
          </w:divBdr>
        </w:div>
      </w:divsChild>
    </w:div>
    <w:div w:id="207809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s.virginia.gov/cgi-bin/legp604.exe?241+sum+HB1" TargetMode="External"/><Relationship Id="rId13" Type="http://schemas.openxmlformats.org/officeDocument/2006/relationships/hyperlink" Target="https://casetext.com/case/chevron-inc-v-natural-resources-defense-council-inc-american-iron-and-steel-institute-v-natural-resources-defense-council-inc-ruckelshaus-v-natural-resources-defense-council-inc" TargetMode="External"/><Relationship Id="rId3" Type="http://schemas.openxmlformats.org/officeDocument/2006/relationships/settings" Target="settings.xml"/><Relationship Id="rId7" Type="http://schemas.openxmlformats.org/officeDocument/2006/relationships/hyperlink" Target="https://counselingcompact.org/compact-commission/" TargetMode="External"/><Relationship Id="rId12" Type="http://schemas.openxmlformats.org/officeDocument/2006/relationships/hyperlink" Target="https://lis.virginia.gov/cgi-bin/legp604.exe?241+sum+SJ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ounselingcompact.org/" TargetMode="External"/><Relationship Id="rId11" Type="http://schemas.openxmlformats.org/officeDocument/2006/relationships/hyperlink" Target="https://lis.virginia.gov/cgi-bin/legp604.exe?241+sum+HB36" TargetMode="External"/><Relationship Id="rId5" Type="http://schemas.openxmlformats.org/officeDocument/2006/relationships/hyperlink" Target="https://lis.virginia.gov/cgi-bin/legp604.exe?231+sum+HB1744" TargetMode="External"/><Relationship Id="rId15" Type="http://schemas.openxmlformats.org/officeDocument/2006/relationships/hyperlink" Target="https://supreme.justia.com/cases/federal/us/467/837/" TargetMode="External"/><Relationship Id="rId10" Type="http://schemas.openxmlformats.org/officeDocument/2006/relationships/hyperlink" Target="https://lis.virginia.gov/cgi-bin/legp604.exe?241+sum+HB20" TargetMode="External"/><Relationship Id="rId4" Type="http://schemas.openxmlformats.org/officeDocument/2006/relationships/webSettings" Target="webSettings.xml"/><Relationship Id="rId9" Type="http://schemas.openxmlformats.org/officeDocument/2006/relationships/hyperlink" Target="https://lis.virginia.gov/cgi-bin/legp604.exe?241+sum+SB1" TargetMode="External"/><Relationship Id="rId14" Type="http://schemas.openxmlformats.org/officeDocument/2006/relationships/hyperlink" Target="https://www.scotusblog.com/case-files/cases/loper-bright-enterprises-v-raimon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Business Workstudy</dc:creator>
  <cp:keywords/>
  <dc:description/>
  <cp:lastModifiedBy>Mackenzie Caun</cp:lastModifiedBy>
  <cp:revision>2</cp:revision>
  <cp:lastPrinted>2024-01-04T14:36:00Z</cp:lastPrinted>
  <dcterms:created xsi:type="dcterms:W3CDTF">2024-01-08T16:55:00Z</dcterms:created>
  <dcterms:modified xsi:type="dcterms:W3CDTF">2024-01-08T16:55:00Z</dcterms:modified>
</cp:coreProperties>
</file>